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CD" w:rsidRDefault="00F703DF" w:rsidP="004139CD">
      <w:pPr>
        <w:spacing w:after="0" w:line="240" w:lineRule="auto"/>
        <w:jc w:val="center"/>
        <w:rPr>
          <w:rFonts w:ascii="Times New Roman" w:hAnsi="Times New Roman"/>
          <w:noProof/>
          <w:sz w:val="28"/>
          <w:szCs w:val="28"/>
          <w:lang w:eastAsia="ru-RU"/>
        </w:rPr>
      </w:pPr>
      <w:bookmarkStart w:id="0" w:name="_GoBack"/>
      <w:bookmarkEnd w:id="0"/>
      <w:r w:rsidRPr="00046082">
        <w:rPr>
          <w:sz w:val="28"/>
          <w:szCs w:val="28"/>
        </w:rPr>
        <w:tab/>
      </w:r>
      <w:r w:rsidR="00BA4CB4">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6.75pt;height:73.05pt" fillcolor="#3cf" strokecolor="#009" strokeweight="1pt">
            <v:shadow on="t" color="#009" offset="7pt,-7pt"/>
            <v:textpath style="font-family:&quot;Impact&quot;;v-text-spacing:52429f;v-text-kern:t" trim="t" fitpath="t" xscale="f" string="Травнинские     Вести"/>
          </v:shape>
        </w:pict>
      </w:r>
      <w:r w:rsidR="004139CD">
        <w:rPr>
          <w:rFonts w:ascii="Times New Roman" w:hAnsi="Times New Roman"/>
          <w:noProof/>
          <w:sz w:val="28"/>
          <w:szCs w:val="28"/>
          <w:lang w:eastAsia="ru-RU"/>
        </w:rPr>
        <w:drawing>
          <wp:inline distT="0" distB="0" distL="0" distR="0" wp14:anchorId="1A44133D" wp14:editId="40A2C528">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4139CD" w:rsidRDefault="004139CD" w:rsidP="004139CD">
      <w:pPr>
        <w:spacing w:after="0" w:line="240" w:lineRule="auto"/>
        <w:jc w:val="center"/>
        <w:rPr>
          <w:rFonts w:ascii="Times New Roman" w:hAnsi="Times New Roman"/>
          <w:noProof/>
          <w:sz w:val="28"/>
          <w:szCs w:val="28"/>
          <w:lang w:eastAsia="ru-RU"/>
        </w:rPr>
      </w:pPr>
    </w:p>
    <w:p w:rsidR="004139CD" w:rsidRDefault="004139CD" w:rsidP="004139CD">
      <w:pPr>
        <w:spacing w:after="0" w:line="240" w:lineRule="auto"/>
        <w:jc w:val="center"/>
        <w:rPr>
          <w:rFonts w:ascii="Times New Roman" w:hAnsi="Times New Roman"/>
          <w:b/>
          <w:sz w:val="32"/>
          <w:szCs w:val="32"/>
        </w:rPr>
      </w:pPr>
      <w:r w:rsidRPr="00A54089">
        <w:rPr>
          <w:rFonts w:ascii="Times New Roman" w:hAnsi="Times New Roman"/>
          <w:b/>
          <w:sz w:val="32"/>
          <w:szCs w:val="32"/>
        </w:rPr>
        <w:t xml:space="preserve">Периодическое печатное  издание Совета депутатов и администрации  </w:t>
      </w:r>
      <w:proofErr w:type="spellStart"/>
      <w:r w:rsidRPr="00A54089">
        <w:rPr>
          <w:rFonts w:ascii="Times New Roman" w:hAnsi="Times New Roman"/>
          <w:b/>
          <w:sz w:val="32"/>
          <w:szCs w:val="32"/>
        </w:rPr>
        <w:t>Травнинского</w:t>
      </w:r>
      <w:proofErr w:type="spellEnd"/>
      <w:r w:rsidRPr="00A54089">
        <w:rPr>
          <w:rFonts w:ascii="Times New Roman" w:hAnsi="Times New Roman"/>
          <w:b/>
          <w:sz w:val="32"/>
          <w:szCs w:val="32"/>
        </w:rPr>
        <w:t xml:space="preserve"> с</w:t>
      </w:r>
      <w:r>
        <w:rPr>
          <w:rFonts w:ascii="Times New Roman" w:hAnsi="Times New Roman"/>
          <w:b/>
          <w:sz w:val="32"/>
          <w:szCs w:val="32"/>
        </w:rPr>
        <w:t xml:space="preserve">ельсовета </w:t>
      </w:r>
    </w:p>
    <w:p w:rsidR="004139CD" w:rsidRDefault="004139CD" w:rsidP="004139CD">
      <w:pPr>
        <w:spacing w:after="0" w:line="240" w:lineRule="auto"/>
        <w:jc w:val="center"/>
        <w:rPr>
          <w:rFonts w:ascii="Times New Roman" w:hAnsi="Times New Roman"/>
          <w:b/>
          <w:sz w:val="32"/>
          <w:szCs w:val="32"/>
        </w:rPr>
      </w:pPr>
      <w:r>
        <w:rPr>
          <w:rFonts w:ascii="Times New Roman" w:hAnsi="Times New Roman"/>
          <w:b/>
          <w:sz w:val="32"/>
          <w:szCs w:val="32"/>
        </w:rPr>
        <w:t>от  02.04</w:t>
      </w:r>
      <w:r w:rsidRPr="00494262">
        <w:rPr>
          <w:rFonts w:ascii="Times New Roman" w:hAnsi="Times New Roman"/>
          <w:b/>
          <w:sz w:val="32"/>
          <w:szCs w:val="32"/>
        </w:rPr>
        <w:t xml:space="preserve">.2024 года № </w:t>
      </w:r>
      <w:r>
        <w:rPr>
          <w:rFonts w:ascii="Times New Roman" w:hAnsi="Times New Roman"/>
          <w:b/>
          <w:sz w:val="32"/>
          <w:szCs w:val="32"/>
        </w:rPr>
        <w:t>6</w:t>
      </w:r>
    </w:p>
    <w:p w:rsidR="004139CD" w:rsidRDefault="004139CD" w:rsidP="004139CD">
      <w:pPr>
        <w:spacing w:after="0" w:line="240" w:lineRule="auto"/>
        <w:jc w:val="center"/>
        <w:rPr>
          <w:rFonts w:ascii="Times New Roman" w:hAnsi="Times New Roman"/>
          <w:b/>
          <w:sz w:val="32"/>
          <w:szCs w:val="32"/>
        </w:rPr>
      </w:pPr>
    </w:p>
    <w:p w:rsidR="004139CD" w:rsidRPr="00A54089" w:rsidRDefault="004139CD" w:rsidP="004139CD">
      <w:pPr>
        <w:spacing w:after="0" w:line="240" w:lineRule="auto"/>
        <w:jc w:val="center"/>
        <w:rPr>
          <w:rFonts w:ascii="Times New Roman" w:hAnsi="Times New Roman"/>
          <w:b/>
          <w:sz w:val="32"/>
          <w:szCs w:val="32"/>
        </w:rPr>
      </w:pPr>
      <w:r>
        <w:rPr>
          <w:rFonts w:ascii="Times New Roman" w:hAnsi="Times New Roman"/>
          <w:b/>
          <w:sz w:val="32"/>
          <w:szCs w:val="32"/>
        </w:rPr>
        <w:t>ПРОКУРОР РАЗЪЯСНЯЕТ</w:t>
      </w:r>
    </w:p>
    <w:p w:rsidR="004139CD" w:rsidRPr="00BC30DA" w:rsidRDefault="004139CD" w:rsidP="004139CD">
      <w:pPr>
        <w:autoSpaceDE w:val="0"/>
        <w:autoSpaceDN w:val="0"/>
        <w:adjustRightInd w:val="0"/>
        <w:spacing w:after="0" w:line="240" w:lineRule="auto"/>
        <w:jc w:val="both"/>
        <w:rPr>
          <w:rFonts w:ascii="Times New Roman" w:hAnsi="Times New Roman"/>
          <w:b/>
          <w:sz w:val="24"/>
          <w:szCs w:val="24"/>
        </w:rPr>
      </w:pPr>
    </w:p>
    <w:p w:rsidR="007E564F" w:rsidRPr="004139CD" w:rsidRDefault="007E564F" w:rsidP="007E564F">
      <w:pPr>
        <w:pStyle w:val="ConsPlusNormal"/>
        <w:contextualSpacing/>
        <w:jc w:val="center"/>
        <w:rPr>
          <w:b/>
          <w:bCs/>
          <w:sz w:val="28"/>
          <w:szCs w:val="28"/>
        </w:rPr>
      </w:pPr>
      <w:r w:rsidRPr="004139CD">
        <w:rPr>
          <w:b/>
          <w:bCs/>
          <w:sz w:val="28"/>
          <w:szCs w:val="28"/>
        </w:rPr>
        <w:t>Дополнительные услуги оператора сотовой связи</w:t>
      </w:r>
    </w:p>
    <w:p w:rsidR="007E564F" w:rsidRPr="00E309D4" w:rsidRDefault="007E564F" w:rsidP="007E564F">
      <w:pPr>
        <w:pStyle w:val="ConsPlusNormal"/>
        <w:contextualSpacing/>
        <w:jc w:val="center"/>
        <w:rPr>
          <w:sz w:val="28"/>
          <w:szCs w:val="28"/>
        </w:rPr>
      </w:pP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w:t>
      </w:r>
      <w:proofErr w:type="gramStart"/>
      <w:r w:rsidRPr="00E309D4">
        <w:rPr>
          <w:sz w:val="28"/>
          <w:szCs w:val="28"/>
        </w:rPr>
        <w:t xml:space="preserve">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"б" п. 37 Правил, утв. Постановлением Правительства РФ от 31.12.2021 N 2606;</w:t>
      </w:r>
      <w:proofErr w:type="gramEnd"/>
      <w:r w:rsidRPr="00E309D4">
        <w:rPr>
          <w:sz w:val="28"/>
          <w:szCs w:val="28"/>
        </w:rPr>
        <w:t xml:space="preserve"> </w:t>
      </w:r>
      <w:proofErr w:type="spellStart"/>
      <w:proofErr w:type="gramStart"/>
      <w:r w:rsidRPr="00E309D4">
        <w:rPr>
          <w:sz w:val="28"/>
          <w:szCs w:val="28"/>
        </w:rPr>
        <w:t>пп</w:t>
      </w:r>
      <w:proofErr w:type="spellEnd"/>
      <w:r w:rsidRPr="00E309D4">
        <w:rPr>
          <w:sz w:val="28"/>
          <w:szCs w:val="28"/>
        </w:rPr>
        <w:t>. "а" п. 36 Правил, утв. Постановлением Правительства РФ от 31.12.2021 N 2607).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lastRenderedPageBreak/>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Претензию необходимо вручить или отправить оператору связи не позднее шести месяцев </w:t>
      </w:r>
      <w:proofErr w:type="gramStart"/>
      <w:r w:rsidRPr="00E309D4">
        <w:rPr>
          <w:sz w:val="28"/>
          <w:szCs w:val="28"/>
        </w:rPr>
        <w:t>с даты выставления</w:t>
      </w:r>
      <w:proofErr w:type="gramEnd"/>
      <w:r w:rsidRPr="00E309D4">
        <w:rPr>
          <w:sz w:val="28"/>
          <w:szCs w:val="28"/>
        </w:rPr>
        <w:t xml:space="preserve">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w:t>
      </w:r>
      <w:proofErr w:type="gramStart"/>
      <w:r w:rsidRPr="00E309D4">
        <w:rPr>
          <w:sz w:val="28"/>
          <w:szCs w:val="28"/>
        </w:rPr>
        <w:t>ии о ее</w:t>
      </w:r>
      <w:proofErr w:type="gramEnd"/>
      <w:r w:rsidRPr="00E309D4">
        <w:rPr>
          <w:sz w:val="28"/>
          <w:szCs w:val="28"/>
        </w:rPr>
        <w:t xml:space="preserve">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w:t>
      </w:r>
      <w:proofErr w:type="gramStart"/>
      <w:r w:rsidRPr="00E309D4">
        <w:rPr>
          <w:sz w:val="28"/>
          <w:szCs w:val="28"/>
        </w:rPr>
        <w:lastRenderedPageBreak/>
        <w:t>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roofErr w:type="gramEnd"/>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w:t>
      </w:r>
      <w:proofErr w:type="gramStart"/>
      <w:r w:rsidRPr="00E309D4">
        <w:rPr>
          <w:sz w:val="28"/>
          <w:szCs w:val="28"/>
        </w:rPr>
        <w:t>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По данному иску потребитель услуг связи освобождены от уплаты </w:t>
      </w:r>
      <w:r w:rsidRPr="00E309D4">
        <w:rPr>
          <w:sz w:val="28"/>
          <w:szCs w:val="28"/>
        </w:rPr>
        <w:lastRenderedPageBreak/>
        <w:t xml:space="preserve">госпошлины, если цена иска не превышает 1 </w:t>
      </w:r>
      <w:proofErr w:type="gramStart"/>
      <w:r w:rsidRPr="00E309D4">
        <w:rPr>
          <w:sz w:val="28"/>
          <w:szCs w:val="28"/>
        </w:rPr>
        <w:t>млн</w:t>
      </w:r>
      <w:proofErr w:type="gramEnd"/>
      <w:r w:rsidRPr="00E309D4">
        <w:rPr>
          <w:sz w:val="28"/>
          <w:szCs w:val="28"/>
        </w:rPr>
        <w:t xml:space="preserve">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E309D4">
        <w:rPr>
          <w:sz w:val="28"/>
          <w:szCs w:val="28"/>
        </w:rPr>
        <w:t>пп</w:t>
      </w:r>
      <w:proofErr w:type="spellEnd"/>
      <w:r w:rsidRPr="00E309D4">
        <w:rPr>
          <w:sz w:val="28"/>
          <w:szCs w:val="28"/>
        </w:rPr>
        <w:t>. 4 п. 2 и п. 3 ст. 333.36 НК РФ; п. 3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p>
    <w:p w:rsidR="007E564F" w:rsidRPr="00E309D4" w:rsidRDefault="007E564F" w:rsidP="007E564F">
      <w:pPr>
        <w:pStyle w:val="ConsPlusNormal"/>
        <w:contextualSpacing/>
        <w:jc w:val="both"/>
        <w:rPr>
          <w:sz w:val="28"/>
          <w:szCs w:val="28"/>
        </w:rPr>
      </w:pPr>
      <w:r>
        <w:rPr>
          <w:sz w:val="28"/>
          <w:szCs w:val="28"/>
        </w:rPr>
        <w:tab/>
      </w:r>
      <w:proofErr w:type="gramStart"/>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w:t>
      </w:r>
      <w:proofErr w:type="gramEnd"/>
      <w:r w:rsidRPr="00E309D4">
        <w:rPr>
          <w:sz w:val="28"/>
          <w:szCs w:val="28"/>
        </w:rPr>
        <w:t xml:space="preserve"> п. 1 Обзора, утв. Президиумом Верховного Суда РФ 14.10.2020).</w:t>
      </w:r>
    </w:p>
    <w:p w:rsidR="007E564F" w:rsidRDefault="007E564F" w:rsidP="007E564F">
      <w:pPr>
        <w:pStyle w:val="ConsPlusNormal"/>
        <w:contextualSpacing/>
        <w:jc w:val="both"/>
        <w:rPr>
          <w:sz w:val="28"/>
          <w:szCs w:val="28"/>
        </w:rPr>
      </w:pPr>
      <w:r>
        <w:rPr>
          <w:sz w:val="28"/>
          <w:szCs w:val="28"/>
        </w:rPr>
        <w:tab/>
      </w:r>
      <w:r w:rsidRPr="00E309D4">
        <w:rPr>
          <w:sz w:val="28"/>
          <w:szCs w:val="28"/>
        </w:rP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7E564F" w:rsidRDefault="007E564F" w:rsidP="007E564F">
      <w:pPr>
        <w:pStyle w:val="ConsPlusNormal"/>
        <w:contextualSpacing/>
        <w:jc w:val="both"/>
        <w:rPr>
          <w:sz w:val="28"/>
          <w:szCs w:val="28"/>
        </w:rPr>
      </w:pPr>
    </w:p>
    <w:p w:rsidR="007E564F" w:rsidRDefault="0022462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564F">
        <w:rPr>
          <w:sz w:val="28"/>
          <w:szCs w:val="28"/>
        </w:rPr>
        <w:t>Кузнецова О.В.</w:t>
      </w:r>
    </w:p>
    <w:p w:rsidR="0022462F" w:rsidRDefault="0022462F" w:rsidP="007E564F">
      <w:pPr>
        <w:pStyle w:val="ConsPlusNormal"/>
        <w:contextualSpacing/>
        <w:jc w:val="both"/>
        <w:rPr>
          <w:sz w:val="28"/>
          <w:szCs w:val="28"/>
        </w:rPr>
      </w:pPr>
    </w:p>
    <w:p w:rsidR="0022462F" w:rsidRDefault="0022462F" w:rsidP="007E564F">
      <w:pPr>
        <w:pStyle w:val="ConsPlusNormal"/>
        <w:contextualSpacing/>
        <w:jc w:val="both"/>
        <w:rPr>
          <w:sz w:val="28"/>
          <w:szCs w:val="28"/>
        </w:rPr>
      </w:pPr>
    </w:p>
    <w:p w:rsidR="0022462F" w:rsidRDefault="0022462F" w:rsidP="007E564F">
      <w:pPr>
        <w:pStyle w:val="ConsPlusNormal"/>
        <w:contextualSpacing/>
        <w:jc w:val="both"/>
        <w:rPr>
          <w:sz w:val="28"/>
          <w:szCs w:val="28"/>
        </w:rPr>
      </w:pPr>
    </w:p>
    <w:p w:rsidR="0022462F" w:rsidRDefault="0022462F" w:rsidP="007E564F">
      <w:pPr>
        <w:pStyle w:val="ConsPlusNormal"/>
        <w:contextualSpacing/>
        <w:jc w:val="both"/>
        <w:rPr>
          <w:sz w:val="28"/>
          <w:szCs w:val="28"/>
        </w:rPr>
      </w:pPr>
    </w:p>
    <w:p w:rsidR="0022462F" w:rsidRPr="00E309D4" w:rsidRDefault="0022462F" w:rsidP="007E564F">
      <w:pPr>
        <w:pStyle w:val="ConsPlusNormal"/>
        <w:contextualSpacing/>
        <w:jc w:val="both"/>
        <w:rPr>
          <w:sz w:val="28"/>
          <w:szCs w:val="28"/>
        </w:rPr>
      </w:pPr>
    </w:p>
    <w:p w:rsidR="007E564F" w:rsidRPr="004139CD" w:rsidRDefault="007E564F" w:rsidP="007E564F">
      <w:pPr>
        <w:pStyle w:val="ConsPlusNormal"/>
        <w:contextualSpacing/>
        <w:jc w:val="center"/>
        <w:rPr>
          <w:b/>
          <w:bCs/>
          <w:sz w:val="28"/>
          <w:szCs w:val="28"/>
        </w:rPr>
      </w:pPr>
      <w:r w:rsidRPr="004139CD">
        <w:rPr>
          <w:b/>
          <w:bCs/>
          <w:sz w:val="28"/>
          <w:szCs w:val="28"/>
        </w:rPr>
        <w:t>Защита чести и достоинства гражданина при распространении в СМИ недостоверной информации</w:t>
      </w:r>
    </w:p>
    <w:p w:rsidR="007E564F" w:rsidRPr="004139CD" w:rsidRDefault="007E564F" w:rsidP="007E564F">
      <w:pPr>
        <w:pStyle w:val="ConsPlusNormal"/>
        <w:contextualSpacing/>
        <w:jc w:val="center"/>
        <w:rPr>
          <w:b/>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 xml:space="preserve">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w:t>
      </w:r>
      <w:proofErr w:type="gramStart"/>
      <w:r w:rsidRPr="009513DE">
        <w:rPr>
          <w:sz w:val="28"/>
          <w:szCs w:val="28"/>
        </w:rPr>
        <w:t>распространение</w:t>
      </w:r>
      <w:proofErr w:type="gramEnd"/>
      <w:r w:rsidRPr="009513DE">
        <w:rPr>
          <w:sz w:val="28"/>
          <w:szCs w:val="28"/>
        </w:rPr>
        <w:t xml:space="preserve">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w:t>
      </w:r>
      <w:r w:rsidRPr="009513DE">
        <w:rPr>
          <w:sz w:val="28"/>
          <w:szCs w:val="28"/>
        </w:rPr>
        <w:lastRenderedPageBreak/>
        <w:t>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w:t>
      </w:r>
      <w:proofErr w:type="gramStart"/>
      <w:r w:rsidRPr="009513DE">
        <w:rPr>
          <w:sz w:val="28"/>
          <w:szCs w:val="28"/>
        </w:rPr>
        <w:t>ств вп</w:t>
      </w:r>
      <w:proofErr w:type="gramEnd"/>
      <w:r w:rsidRPr="009513DE">
        <w:rPr>
          <w:sz w:val="28"/>
          <w:szCs w:val="28"/>
        </w:rPr>
        <w:t>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 xml:space="preserve">вправе обратиться, в частности, с требованием об опровержении недостоверных сведений, порочащих вашу честь и достоинство, непосредственно в редакцию </w:t>
      </w:r>
      <w:proofErr w:type="gramStart"/>
      <w:r w:rsidRPr="009513DE">
        <w:rPr>
          <w:sz w:val="28"/>
          <w:szCs w:val="28"/>
        </w:rPr>
        <w:t>соответствующего</w:t>
      </w:r>
      <w:proofErr w:type="gramEnd"/>
      <w:r w:rsidRPr="009513DE">
        <w:rPr>
          <w:sz w:val="28"/>
          <w:szCs w:val="28"/>
        </w:rPr>
        <w:t xml:space="preserve">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1" w:name="Par19"/>
      <w:bookmarkEnd w:id="1"/>
      <w:r>
        <w:rPr>
          <w:sz w:val="28"/>
          <w:szCs w:val="28"/>
        </w:rPr>
        <w:tab/>
      </w:r>
      <w:proofErr w:type="gramStart"/>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roofErr w:type="gramEnd"/>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Исковое заявление о защите чести, достоинства и (или) деловой репутации и компенсации морального вреда подается в районный суд по </w:t>
      </w:r>
      <w:r w:rsidRPr="009513DE">
        <w:rPr>
          <w:sz w:val="28"/>
          <w:szCs w:val="28"/>
        </w:rPr>
        <w:lastRenderedPageBreak/>
        <w:t>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w:t>
      </w:r>
      <w:proofErr w:type="gramStart"/>
      <w:r w:rsidRPr="009513DE">
        <w:rPr>
          <w:sz w:val="28"/>
          <w:szCs w:val="28"/>
        </w:rPr>
        <w:t>довести</w:t>
      </w:r>
      <w:proofErr w:type="gramEnd"/>
      <w:r w:rsidRPr="009513DE">
        <w:rPr>
          <w:sz w:val="28"/>
          <w:szCs w:val="28"/>
        </w:rPr>
        <w:t xml:space="preserve">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lastRenderedPageBreak/>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2" w:name="Par50"/>
      <w:bookmarkEnd w:id="2"/>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3" w:name="Par60"/>
      <w:bookmarkEnd w:id="3"/>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w:t>
      </w:r>
      <w:r w:rsidRPr="009513DE">
        <w:rPr>
          <w:sz w:val="28"/>
          <w:szCs w:val="28"/>
        </w:rPr>
        <w:lastRenderedPageBreak/>
        <w:t>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w:t>
      </w:r>
      <w:proofErr w:type="gramStart"/>
      <w:r w:rsidRPr="009513DE">
        <w:rPr>
          <w:sz w:val="28"/>
          <w:szCs w:val="28"/>
        </w:rPr>
        <w:t>являться</w:t>
      </w:r>
      <w:proofErr w:type="gramEnd"/>
      <w:r w:rsidRPr="009513DE">
        <w:rPr>
          <w:sz w:val="28"/>
          <w:szCs w:val="28"/>
        </w:rPr>
        <w:t xml:space="preserve">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w:t>
      </w:r>
      <w:proofErr w:type="gramStart"/>
      <w:r w:rsidRPr="009513DE">
        <w:rPr>
          <w:sz w:val="28"/>
          <w:szCs w:val="28"/>
        </w:rPr>
        <w:t>действительности</w:t>
      </w:r>
      <w:proofErr w:type="gramEnd"/>
      <w:r w:rsidRPr="009513DE">
        <w:rPr>
          <w:sz w:val="28"/>
          <w:szCs w:val="28"/>
        </w:rPr>
        <w:t xml:space="preserve"> порочащие сведения, содержат признаки 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9513DE" w:rsidRDefault="00DA6BEF" w:rsidP="007E564F">
      <w:pPr>
        <w:pStyle w:val="ConsPlusNormal"/>
        <w:contextualSpacing/>
        <w:jc w:val="both"/>
        <w:rPr>
          <w:sz w:val="28"/>
          <w:szCs w:val="28"/>
        </w:rPr>
      </w:pPr>
    </w:p>
    <w:p w:rsidR="007E564F" w:rsidRPr="004139CD" w:rsidRDefault="007E564F" w:rsidP="007E564F">
      <w:pPr>
        <w:pStyle w:val="ConsPlusNormal"/>
        <w:contextualSpacing/>
        <w:jc w:val="center"/>
        <w:rPr>
          <w:b/>
          <w:sz w:val="28"/>
          <w:szCs w:val="28"/>
        </w:rPr>
      </w:pPr>
      <w:r w:rsidRPr="004139CD">
        <w:rPr>
          <w:b/>
          <w:sz w:val="28"/>
          <w:szCs w:val="28"/>
        </w:rPr>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lastRenderedPageBreak/>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4" w:name="Par11"/>
      <w:bookmarkEnd w:id="4"/>
      <w:r>
        <w:rPr>
          <w:sz w:val="28"/>
          <w:szCs w:val="28"/>
        </w:rPr>
        <w:tab/>
      </w:r>
      <w:r w:rsidRPr="00340758">
        <w:rPr>
          <w:sz w:val="28"/>
          <w:szCs w:val="28"/>
        </w:rPr>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7E564F" w:rsidRPr="00340758" w:rsidRDefault="007E564F" w:rsidP="007E564F">
      <w:pPr>
        <w:pStyle w:val="ConsPlusNormal"/>
        <w:contextualSpacing/>
        <w:jc w:val="both"/>
        <w:rPr>
          <w:sz w:val="28"/>
          <w:szCs w:val="28"/>
        </w:rPr>
      </w:pPr>
      <w:r>
        <w:rPr>
          <w:sz w:val="28"/>
          <w:szCs w:val="28"/>
        </w:rPr>
        <w:tab/>
      </w:r>
      <w:proofErr w:type="gramStart"/>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w:t>
      </w:r>
      <w:proofErr w:type="gramEnd"/>
      <w:r w:rsidRPr="00340758">
        <w:rPr>
          <w:sz w:val="28"/>
          <w:szCs w:val="28"/>
        </w:rPr>
        <w:t xml:space="preserve"> ст. 79 ЗК РФ).</w:t>
      </w:r>
    </w:p>
    <w:p w:rsidR="007E564F" w:rsidRPr="00340758" w:rsidRDefault="007E564F" w:rsidP="007E564F">
      <w:pPr>
        <w:pStyle w:val="ConsPlusNormal"/>
        <w:contextualSpacing/>
        <w:jc w:val="both"/>
        <w:rPr>
          <w:sz w:val="28"/>
          <w:szCs w:val="28"/>
        </w:rPr>
      </w:pPr>
      <w:bookmarkStart w:id="5" w:name="Par17"/>
      <w:bookmarkEnd w:id="5"/>
      <w:r>
        <w:rPr>
          <w:sz w:val="28"/>
          <w:szCs w:val="28"/>
        </w:rPr>
        <w:tab/>
      </w:r>
      <w:r w:rsidRPr="00340758">
        <w:rPr>
          <w:sz w:val="28"/>
          <w:szCs w:val="28"/>
        </w:rPr>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t xml:space="preserve">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w:t>
      </w:r>
      <w:proofErr w:type="gramStart"/>
      <w:r w:rsidRPr="00340758">
        <w:rPr>
          <w:sz w:val="28"/>
          <w:szCs w:val="28"/>
        </w:rPr>
        <w:t>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roofErr w:type="gramEnd"/>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lastRenderedPageBreak/>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Кузнецова О.В.</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340758" w:rsidRDefault="00DA6BEF" w:rsidP="007E564F">
      <w:pPr>
        <w:pStyle w:val="ConsPlusNormal"/>
        <w:contextualSpacing/>
        <w:jc w:val="both"/>
        <w:rPr>
          <w:sz w:val="28"/>
          <w:szCs w:val="28"/>
        </w:rPr>
      </w:pPr>
    </w:p>
    <w:p w:rsidR="007E564F" w:rsidRPr="004139CD" w:rsidRDefault="007E564F" w:rsidP="007E564F">
      <w:pPr>
        <w:pStyle w:val="ConsPlusNormal"/>
        <w:contextualSpacing/>
        <w:jc w:val="center"/>
        <w:rPr>
          <w:b/>
          <w:sz w:val="28"/>
          <w:szCs w:val="28"/>
        </w:rPr>
      </w:pPr>
      <w:r w:rsidRPr="004139CD">
        <w:rPr>
          <w:b/>
          <w:bCs/>
          <w:sz w:val="28"/>
          <w:szCs w:val="28"/>
        </w:rPr>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4F0399">
        <w:rPr>
          <w:sz w:val="28"/>
          <w:szCs w:val="28"/>
        </w:rPr>
        <w:t xml:space="preserve"> деловыми качествами работника, то оно может быть квалифицировано как дискриминация в сфере труда (ч. 2 ст. 3 ТК РФ).</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w:t>
      </w:r>
      <w:proofErr w:type="gramEnd"/>
      <w:r w:rsidRPr="004F0399">
        <w:rPr>
          <w:sz w:val="28"/>
          <w:szCs w:val="28"/>
        </w:rPr>
        <w:t xml:space="preserve">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w:t>
      </w:r>
      <w:proofErr w:type="gramStart"/>
      <w:r w:rsidRPr="004F0399">
        <w:rPr>
          <w:sz w:val="28"/>
          <w:szCs w:val="28"/>
        </w:rPr>
        <w:t>и</w:t>
      </w:r>
      <w:proofErr w:type="gramEnd"/>
      <w:r w:rsidRPr="004F0399">
        <w:rPr>
          <w:sz w:val="28"/>
          <w:szCs w:val="28"/>
        </w:rPr>
        <w:t xml:space="preserve">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w:t>
      </w:r>
      <w:proofErr w:type="gramStart"/>
      <w:r w:rsidRPr="004F0399">
        <w:rPr>
          <w:sz w:val="28"/>
          <w:szCs w:val="28"/>
        </w:rPr>
        <w:t>и</w:t>
      </w:r>
      <w:proofErr w:type="gramEnd"/>
      <w:r w:rsidRPr="004F0399">
        <w:rPr>
          <w:sz w:val="28"/>
          <w:szCs w:val="28"/>
        </w:rPr>
        <w:t xml:space="preserve"> трудового договора по обстоятельствам, не </w:t>
      </w:r>
      <w:r w:rsidRPr="004F0399">
        <w:rPr>
          <w:sz w:val="28"/>
          <w:szCs w:val="28"/>
        </w:rPr>
        <w:lastRenderedPageBreak/>
        <w:t>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работодателю-ИП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4F0399">
        <w:rPr>
          <w:sz w:val="28"/>
          <w:szCs w:val="28"/>
        </w:rPr>
        <w:t>накладывается штраф</w:t>
      </w:r>
      <w:proofErr w:type="gramEnd"/>
      <w:r w:rsidRPr="004F0399">
        <w:rPr>
          <w:sz w:val="28"/>
          <w:szCs w:val="28"/>
        </w:rPr>
        <w:t xml:space="preserve"> (ст. 4.6, ч. 2 ст. 5.27 КоАП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работодателя-ИП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предвзятое отношение работодателя повлекло отказ в приеме на работу инвалида в пределах установленной квоты, то это может повлечь </w:t>
      </w:r>
      <w:r w:rsidRPr="004F0399">
        <w:rPr>
          <w:sz w:val="28"/>
          <w:szCs w:val="28"/>
        </w:rPr>
        <w:lastRenderedPageBreak/>
        <w:t>наложение административного штрафа на должностное лицо работодателя в размере от 5 000 до 10 000 руб. (ч. 1 ст. 5.42 КоАП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(ч. 1 ст. 353, ч. 1 ст. 354 ТК РФ; </w:t>
      </w:r>
      <w:proofErr w:type="gramStart"/>
      <w:r w:rsidRPr="004F0399">
        <w:rPr>
          <w:sz w:val="28"/>
          <w:szCs w:val="28"/>
        </w:rPr>
        <w:t xml:space="preserve">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4F0399">
        <w:rPr>
          <w:sz w:val="28"/>
          <w:szCs w:val="28"/>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4F0399">
        <w:rPr>
          <w:sz w:val="28"/>
          <w:szCs w:val="28"/>
        </w:rPr>
        <w:t xml:space="preserve"> </w:t>
      </w:r>
      <w:proofErr w:type="gramStart"/>
      <w:r w:rsidRPr="004F0399">
        <w:rPr>
          <w:sz w:val="28"/>
          <w:szCs w:val="28"/>
        </w:rPr>
        <w:t>ч. 1 ст. 28.4 КоАП РФ; ч. 3, 5 ст. 20, ч. 1 ст. 21, ч. 2, 3 ст. 37 УПК РФ).</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w:t>
      </w:r>
      <w:r w:rsidRPr="004F0399">
        <w:rPr>
          <w:sz w:val="28"/>
          <w:szCs w:val="28"/>
        </w:rPr>
        <w:lastRenderedPageBreak/>
        <w:t>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4F0399" w:rsidRDefault="00DA6BEF" w:rsidP="007E564F">
      <w:pPr>
        <w:pStyle w:val="ConsPlusNormal"/>
        <w:contextualSpacing/>
        <w:jc w:val="both"/>
        <w:rPr>
          <w:sz w:val="28"/>
          <w:szCs w:val="28"/>
        </w:rPr>
      </w:pPr>
    </w:p>
    <w:p w:rsidR="007E564F" w:rsidRPr="004139CD" w:rsidRDefault="007E564F" w:rsidP="007E564F">
      <w:pPr>
        <w:pStyle w:val="ConsPlusNormal"/>
        <w:contextualSpacing/>
        <w:jc w:val="center"/>
        <w:rPr>
          <w:b/>
          <w:sz w:val="28"/>
          <w:szCs w:val="28"/>
        </w:rPr>
      </w:pPr>
      <w:r w:rsidRPr="004139CD">
        <w:rPr>
          <w:b/>
          <w:sz w:val="28"/>
          <w:szCs w:val="28"/>
        </w:rPr>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w:t>
      </w:r>
      <w:r w:rsidRPr="0028291C">
        <w:rPr>
          <w:sz w:val="28"/>
          <w:szCs w:val="28"/>
        </w:rPr>
        <w:lastRenderedPageBreak/>
        <w:t>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имеющими</w:t>
      </w:r>
      <w:proofErr w:type="gramEnd"/>
      <w:r w:rsidRPr="0028291C">
        <w:rPr>
          <w:sz w:val="28"/>
          <w:szCs w:val="28"/>
        </w:rPr>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совершившими</w:t>
      </w:r>
      <w:proofErr w:type="gramEnd"/>
      <w:r w:rsidRPr="0028291C">
        <w:rPr>
          <w:sz w:val="28"/>
          <w:szCs w:val="28"/>
        </w:rPr>
        <w:t xml:space="preserve"> преступления небольшой или средней степени тяжести (за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отбывшими</w:t>
      </w:r>
      <w:proofErr w:type="gramEnd"/>
      <w:r w:rsidRPr="0028291C">
        <w:rPr>
          <w:sz w:val="28"/>
          <w:szCs w:val="28"/>
        </w:rPr>
        <w:t xml:space="preserve">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w:t>
      </w:r>
      <w:r w:rsidRPr="0028291C">
        <w:rPr>
          <w:sz w:val="28"/>
          <w:szCs w:val="28"/>
        </w:rPr>
        <w:lastRenderedPageBreak/>
        <w:t>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28291C">
        <w:rPr>
          <w:sz w:val="28"/>
          <w:szCs w:val="28"/>
        </w:rPr>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lastRenderedPageBreak/>
        <w:tab/>
      </w:r>
      <w:r w:rsidRPr="0028291C">
        <w:rPr>
          <w:sz w:val="28"/>
          <w:szCs w:val="28"/>
        </w:rPr>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28291C">
        <w:rPr>
          <w:sz w:val="28"/>
          <w:szCs w:val="28"/>
        </w:rPr>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w:t>
      </w:r>
      <w:proofErr w:type="gramEnd"/>
      <w:r w:rsidRPr="0028291C">
        <w:rPr>
          <w:sz w:val="28"/>
          <w:szCs w:val="28"/>
        </w:rPr>
        <w:t xml:space="preserve">. </w:t>
      </w:r>
      <w:proofErr w:type="gramStart"/>
      <w:r w:rsidRPr="0028291C">
        <w:rPr>
          <w:sz w:val="28"/>
          <w:szCs w:val="28"/>
        </w:rPr>
        <w:t>1 ст. 15.2, п. 1 ст. 15.3 Закона от 27.05.1998 N 76-ФЗ).</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 xml:space="preserve">Военнослужащие, проходящие военную службу по контракту (за </w:t>
      </w:r>
      <w:r w:rsidRPr="0028291C">
        <w:rPr>
          <w:sz w:val="28"/>
          <w:szCs w:val="28"/>
        </w:rPr>
        <w:lastRenderedPageBreak/>
        <w:t>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28291C">
        <w:rPr>
          <w:sz w:val="28"/>
          <w:szCs w:val="28"/>
        </w:rPr>
        <w:t xml:space="preserve"> служба, за плату в размере полной стоимости путевки. Указанным военнослужащим и членам их семей </w:t>
      </w:r>
      <w:proofErr w:type="gramStart"/>
      <w:r w:rsidRPr="0028291C">
        <w:rPr>
          <w:sz w:val="28"/>
          <w:szCs w:val="28"/>
        </w:rPr>
        <w:t>при направлении в санатории на медицинскую реабилитацию в соответствии с заключением</w:t>
      </w:r>
      <w:proofErr w:type="gramEnd"/>
      <w:r w:rsidRPr="0028291C">
        <w:rPr>
          <w:sz w:val="28"/>
          <w:szCs w:val="28"/>
        </w:rPr>
        <w:t xml:space="preserve">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28291C">
        <w:rPr>
          <w:sz w:val="28"/>
          <w:szCs w:val="28"/>
        </w:rPr>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7E564F" w:rsidRDefault="00303369"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564F">
        <w:rPr>
          <w:sz w:val="28"/>
          <w:szCs w:val="28"/>
        </w:rPr>
        <w:t>Тимошенко Т.Е.</w:t>
      </w: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Pr="0028291C" w:rsidRDefault="00303369" w:rsidP="007E564F">
      <w:pPr>
        <w:pStyle w:val="ConsPlusNormal"/>
        <w:contextualSpacing/>
        <w:jc w:val="both"/>
        <w:rPr>
          <w:sz w:val="28"/>
          <w:szCs w:val="28"/>
        </w:rPr>
      </w:pPr>
    </w:p>
    <w:p w:rsidR="007E564F" w:rsidRPr="004139CD" w:rsidRDefault="007E564F" w:rsidP="007E564F">
      <w:pPr>
        <w:pStyle w:val="ConsPlusNormal"/>
        <w:contextualSpacing/>
        <w:jc w:val="center"/>
        <w:rPr>
          <w:b/>
          <w:sz w:val="28"/>
          <w:szCs w:val="28"/>
        </w:rPr>
      </w:pPr>
      <w:r w:rsidRPr="004139CD">
        <w:rPr>
          <w:b/>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На финансирование текущего ремонта общего имущества в МКД с собственников квартир и нанимателей взимается плата. </w:t>
      </w:r>
      <w:proofErr w:type="gramStart"/>
      <w:r w:rsidRPr="00262BE5">
        <w:rPr>
          <w:sz w:val="28"/>
          <w:szCs w:val="28"/>
        </w:rPr>
        <w:t>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roofErr w:type="gramEnd"/>
    </w:p>
    <w:p w:rsidR="007E564F" w:rsidRPr="00262BE5" w:rsidRDefault="007E564F" w:rsidP="007E564F">
      <w:pPr>
        <w:pStyle w:val="ConsPlusNormal"/>
        <w:contextualSpacing/>
        <w:jc w:val="both"/>
        <w:rPr>
          <w:sz w:val="28"/>
          <w:szCs w:val="28"/>
        </w:rPr>
      </w:pPr>
      <w:r>
        <w:rPr>
          <w:sz w:val="28"/>
          <w:szCs w:val="28"/>
        </w:rPr>
        <w:lastRenderedPageBreak/>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proofErr w:type="gramStart"/>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w:t>
      </w:r>
      <w:proofErr w:type="gramEnd"/>
      <w:r w:rsidRPr="00262BE5">
        <w:rPr>
          <w:sz w:val="28"/>
          <w:szCs w:val="28"/>
        </w:rPr>
        <w:t>,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w:t>
      </w:r>
      <w:r w:rsidRPr="00262BE5">
        <w:rPr>
          <w:sz w:val="28"/>
          <w:szCs w:val="28"/>
        </w:rPr>
        <w:lastRenderedPageBreak/>
        <w:t>индивидуальных, общих (квартирных</w:t>
      </w:r>
      <w:proofErr w:type="gramEnd"/>
      <w:r w:rsidRPr="00262BE5">
        <w:rPr>
          <w:sz w:val="28"/>
          <w:szCs w:val="28"/>
        </w:rPr>
        <w:t>)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Кроме того, если необходимость ремонта внутри квартиры вызвана ненадлежащим оказанием коммунальных услуг, от службы </w:t>
      </w:r>
      <w:proofErr w:type="gramStart"/>
      <w:r w:rsidRPr="00262BE5">
        <w:rPr>
          <w:sz w:val="28"/>
          <w:szCs w:val="28"/>
        </w:rPr>
        <w:t>ЖКХ</w:t>
      </w:r>
      <w:proofErr w:type="gramEnd"/>
      <w:r w:rsidRPr="00262BE5">
        <w:rPr>
          <w:sz w:val="28"/>
          <w:szCs w:val="28"/>
        </w:rPr>
        <w:t xml:space="preserve">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roofErr w:type="gramEnd"/>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домофонов, </w:t>
      </w:r>
      <w:proofErr w:type="gramStart"/>
      <w:r w:rsidRPr="00262BE5">
        <w:rPr>
          <w:sz w:val="28"/>
          <w:szCs w:val="28"/>
        </w:rPr>
        <w:t>находящихся</w:t>
      </w:r>
      <w:proofErr w:type="gramEnd"/>
      <w:r w:rsidRPr="00262BE5">
        <w:rPr>
          <w:sz w:val="28"/>
          <w:szCs w:val="28"/>
        </w:rPr>
        <w:t xml:space="preserve">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иного оборудования и имущества, не </w:t>
      </w:r>
      <w:proofErr w:type="gramStart"/>
      <w:r w:rsidRPr="00262BE5">
        <w:rPr>
          <w:sz w:val="28"/>
          <w:szCs w:val="28"/>
        </w:rPr>
        <w:t>относящихся</w:t>
      </w:r>
      <w:proofErr w:type="gramEnd"/>
      <w:r w:rsidRPr="00262BE5">
        <w:rPr>
          <w:sz w:val="28"/>
          <w:szCs w:val="28"/>
        </w:rPr>
        <w:t xml:space="preserve"> к общедомовому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lastRenderedPageBreak/>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w:t>
      </w:r>
      <w:r w:rsidR="00303369">
        <w:rPr>
          <w:sz w:val="28"/>
          <w:szCs w:val="28"/>
        </w:rPr>
        <w:t>мощник прокурора</w:t>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t xml:space="preserve">     </w:t>
      </w:r>
      <w:r>
        <w:rPr>
          <w:sz w:val="28"/>
          <w:szCs w:val="28"/>
        </w:rPr>
        <w:t>Кузнецова О.В.</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4139CD" w:rsidRDefault="006E73DB" w:rsidP="006E73DB">
      <w:pPr>
        <w:pStyle w:val="ConsPlusNormal"/>
        <w:contextualSpacing/>
        <w:jc w:val="center"/>
        <w:rPr>
          <w:b/>
          <w:sz w:val="28"/>
          <w:szCs w:val="28"/>
        </w:rPr>
      </w:pPr>
      <w:r w:rsidRPr="004139CD">
        <w:rPr>
          <w:b/>
          <w:bCs/>
          <w:sz w:val="28"/>
          <w:szCs w:val="28"/>
        </w:rPr>
        <w:t>Ответственность за совершение врачебной ошибки</w:t>
      </w:r>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w:t>
      </w:r>
      <w:proofErr w:type="gramStart"/>
      <w:r w:rsidRPr="00391A9B">
        <w:rPr>
          <w:sz w:val="28"/>
          <w:szCs w:val="28"/>
        </w:rPr>
        <w:t>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w:t>
      </w:r>
      <w:proofErr w:type="gramStart"/>
      <w:r w:rsidRPr="00391A9B">
        <w:rPr>
          <w:sz w:val="28"/>
          <w:szCs w:val="28"/>
        </w:rPr>
        <w:t xml:space="preserve">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w:t>
      </w:r>
      <w:r w:rsidRPr="00391A9B">
        <w:rPr>
          <w:sz w:val="28"/>
          <w:szCs w:val="28"/>
        </w:rPr>
        <w:lastRenderedPageBreak/>
        <w:t>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w:t>
      </w:r>
      <w:proofErr w:type="gramEnd"/>
      <w:r w:rsidRPr="00391A9B">
        <w:rPr>
          <w:sz w:val="28"/>
          <w:szCs w:val="28"/>
        </w:rPr>
        <w:t xml:space="preserve">, </w:t>
      </w:r>
      <w:proofErr w:type="gramStart"/>
      <w:r w:rsidRPr="00391A9B">
        <w:rPr>
          <w:sz w:val="28"/>
          <w:szCs w:val="28"/>
        </w:rPr>
        <w:t>п. 1 ст. 1064, п. 1 ст. 1068, п. 1 ст. 1085, ст. 1099 ГК РФ; п. 9 ч. 5 ст. 19, ч. 2, 3 ст. 98 Закона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w:t>
      </w:r>
      <w:proofErr w:type="gramStart"/>
      <w:r w:rsidRPr="00391A9B">
        <w:rPr>
          <w:sz w:val="28"/>
          <w:szCs w:val="28"/>
        </w:rPr>
        <w:t>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roofErr w:type="gramEnd"/>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обращения в суд с исковым заявлением о защите прав потребителей за неудовлетворение</w:t>
      </w:r>
      <w:proofErr w:type="gramEnd"/>
      <w:r w:rsidRPr="00391A9B">
        <w:rPr>
          <w:sz w:val="28"/>
          <w:szCs w:val="28"/>
        </w:rPr>
        <w:t xml:space="preserve">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w:t>
      </w:r>
      <w:proofErr w:type="gramStart"/>
      <w:r w:rsidRPr="00391A9B">
        <w:rPr>
          <w:sz w:val="28"/>
          <w:szCs w:val="28"/>
        </w:rPr>
        <w:t>ии и ее</w:t>
      </w:r>
      <w:proofErr w:type="gramEnd"/>
      <w:r w:rsidRPr="00391A9B">
        <w:rPr>
          <w:sz w:val="28"/>
          <w:szCs w:val="28"/>
        </w:rPr>
        <w:t xml:space="preserve">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w:t>
      </w:r>
      <w:r w:rsidRPr="00391A9B">
        <w:rPr>
          <w:sz w:val="28"/>
          <w:szCs w:val="28"/>
        </w:rPr>
        <w:lastRenderedPageBreak/>
        <w:t>ответственности не освобождает от административной ответственности организацию (ч. 3 ст. 2.1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Кроме того, возможно обращение с соответствующими требованиями, например, в Росздравнадзор, в </w:t>
      </w:r>
      <w:proofErr w:type="spellStart"/>
      <w:r w:rsidRPr="00391A9B">
        <w:rPr>
          <w:sz w:val="28"/>
          <w:szCs w:val="28"/>
        </w:rPr>
        <w:t>Роспотребнадзор</w:t>
      </w:r>
      <w:proofErr w:type="spellEnd"/>
      <w:r w:rsidRPr="00391A9B">
        <w:rPr>
          <w:sz w:val="28"/>
          <w:szCs w:val="28"/>
        </w:rPr>
        <w:t>, а также в суд (ст. ст. 23.49, 23.81 КоАП РФ; ч. 1 ст. 3, п. 1 ч. 1 ст. 22 ГПК РФ; ст. 85, ч. 2 ст. 86, ч. 1, п. 1 ч. 2 ст. 87, ч. 1 ст. 89 Закона N 323-ФЗ;</w:t>
      </w:r>
      <w:proofErr w:type="gramEnd"/>
      <w:r w:rsidRPr="00391A9B">
        <w:rPr>
          <w:sz w:val="28"/>
          <w:szCs w:val="28"/>
        </w:rPr>
        <w:t xml:space="preserve">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6E73DB" w:rsidRPr="00262BE5" w:rsidRDefault="006E73DB" w:rsidP="007E564F">
      <w:pPr>
        <w:pStyle w:val="ConsPlusNormal"/>
        <w:contextualSpacing/>
        <w:jc w:val="both"/>
        <w:rPr>
          <w:sz w:val="28"/>
          <w:szCs w:val="28"/>
        </w:rPr>
      </w:pPr>
    </w:p>
    <w:p w:rsidR="004139CD" w:rsidRDefault="004139CD" w:rsidP="004139CD">
      <w:pPr>
        <w:autoSpaceDE w:val="0"/>
        <w:autoSpaceDN w:val="0"/>
        <w:adjustRightInd w:val="0"/>
        <w:spacing w:after="0" w:line="240" w:lineRule="auto"/>
        <w:jc w:val="both"/>
        <w:rPr>
          <w:rFonts w:ascii="Times New Roman" w:hAnsi="Times New Roman"/>
          <w:b/>
        </w:rPr>
      </w:pPr>
    </w:p>
    <w:p w:rsidR="004139CD" w:rsidRDefault="004139CD" w:rsidP="004139CD">
      <w:pPr>
        <w:autoSpaceDE w:val="0"/>
        <w:autoSpaceDN w:val="0"/>
        <w:adjustRightInd w:val="0"/>
        <w:spacing w:after="0" w:line="240" w:lineRule="auto"/>
        <w:jc w:val="both"/>
        <w:rPr>
          <w:rFonts w:ascii="Times New Roman" w:hAnsi="Times New Roman"/>
          <w:b/>
        </w:rPr>
      </w:pPr>
    </w:p>
    <w:p w:rsidR="004139CD" w:rsidRDefault="004139CD" w:rsidP="004139CD">
      <w:pPr>
        <w:autoSpaceDE w:val="0"/>
        <w:autoSpaceDN w:val="0"/>
        <w:adjustRightInd w:val="0"/>
        <w:spacing w:after="0" w:line="240" w:lineRule="auto"/>
        <w:jc w:val="both"/>
        <w:rPr>
          <w:rFonts w:ascii="Times New Roman" w:hAnsi="Times New Roman"/>
          <w:b/>
        </w:rPr>
      </w:pPr>
    </w:p>
    <w:p w:rsidR="004139CD" w:rsidRDefault="004139CD" w:rsidP="004139CD">
      <w:pPr>
        <w:autoSpaceDE w:val="0"/>
        <w:autoSpaceDN w:val="0"/>
        <w:adjustRightInd w:val="0"/>
        <w:spacing w:after="0" w:line="240" w:lineRule="auto"/>
        <w:jc w:val="both"/>
        <w:rPr>
          <w:rFonts w:ascii="Times New Roman" w:hAnsi="Times New Roman"/>
          <w:b/>
        </w:rPr>
      </w:pPr>
    </w:p>
    <w:p w:rsidR="004139CD" w:rsidRPr="0043315F" w:rsidRDefault="004139CD" w:rsidP="004139CD">
      <w:pPr>
        <w:autoSpaceDE w:val="0"/>
        <w:autoSpaceDN w:val="0"/>
        <w:adjustRightInd w:val="0"/>
        <w:spacing w:after="0" w:line="240" w:lineRule="auto"/>
        <w:jc w:val="both"/>
        <w:rPr>
          <w:rFonts w:ascii="Times New Roman" w:hAnsi="Times New Roman"/>
          <w:color w:val="000000"/>
          <w:lang w:eastAsia="ru-RU"/>
        </w:rPr>
      </w:pPr>
      <w:r w:rsidRPr="0043315F">
        <w:rPr>
          <w:rFonts w:ascii="Times New Roman" w:hAnsi="Times New Roman"/>
          <w:b/>
        </w:rPr>
        <w:t>Редактор:</w:t>
      </w:r>
      <w:r w:rsidRPr="0043315F">
        <w:rPr>
          <w:rFonts w:ascii="Times New Roman" w:hAnsi="Times New Roman"/>
          <w:b/>
        </w:rPr>
        <w:tab/>
        <w:t xml:space="preserve">                                                                                                          </w:t>
      </w:r>
    </w:p>
    <w:p w:rsidR="004139CD" w:rsidRPr="0043315F" w:rsidRDefault="004139CD" w:rsidP="004139CD">
      <w:pPr>
        <w:spacing w:after="0" w:line="240" w:lineRule="auto"/>
        <w:jc w:val="both"/>
        <w:rPr>
          <w:rFonts w:ascii="Times New Roman" w:hAnsi="Times New Roman"/>
        </w:rPr>
      </w:pPr>
      <w:r w:rsidRPr="0043315F">
        <w:rPr>
          <w:rFonts w:ascii="Times New Roman" w:hAnsi="Times New Roman"/>
        </w:rPr>
        <w:t xml:space="preserve">администрация </w:t>
      </w:r>
      <w:proofErr w:type="spellStart"/>
      <w:r w:rsidRPr="0043315F">
        <w:rPr>
          <w:rFonts w:ascii="Times New Roman" w:hAnsi="Times New Roman"/>
        </w:rPr>
        <w:t>Травнинского</w:t>
      </w:r>
      <w:proofErr w:type="spellEnd"/>
      <w:r w:rsidRPr="0043315F">
        <w:rPr>
          <w:rFonts w:ascii="Times New Roman" w:hAnsi="Times New Roman"/>
        </w:rPr>
        <w:t xml:space="preserve"> сельсовета Доволенского района Новосибирской области</w:t>
      </w:r>
    </w:p>
    <w:p w:rsidR="004139CD" w:rsidRPr="0043315F" w:rsidRDefault="004139CD" w:rsidP="004139CD">
      <w:pPr>
        <w:spacing w:after="0" w:line="240" w:lineRule="auto"/>
        <w:jc w:val="both"/>
        <w:rPr>
          <w:rFonts w:ascii="Times New Roman" w:hAnsi="Times New Roman"/>
        </w:rPr>
      </w:pPr>
      <w:r w:rsidRPr="0043315F">
        <w:rPr>
          <w:rFonts w:ascii="Times New Roman" w:hAnsi="Times New Roman"/>
        </w:rPr>
        <w:t xml:space="preserve">Адрес: 632461, Новосибирская область, </w:t>
      </w:r>
      <w:proofErr w:type="spellStart"/>
      <w:r w:rsidRPr="0043315F">
        <w:rPr>
          <w:rFonts w:ascii="Times New Roman" w:hAnsi="Times New Roman"/>
        </w:rPr>
        <w:t>Доволенский</w:t>
      </w:r>
      <w:proofErr w:type="spellEnd"/>
      <w:r w:rsidRPr="0043315F">
        <w:rPr>
          <w:rFonts w:ascii="Times New Roman" w:hAnsi="Times New Roman"/>
        </w:rPr>
        <w:t xml:space="preserve"> район, село Травное, </w:t>
      </w:r>
    </w:p>
    <w:p w:rsidR="004139CD" w:rsidRPr="0043315F" w:rsidRDefault="004139CD" w:rsidP="004139CD">
      <w:pPr>
        <w:spacing w:after="0" w:line="240" w:lineRule="auto"/>
        <w:jc w:val="both"/>
        <w:rPr>
          <w:rFonts w:ascii="Times New Roman" w:hAnsi="Times New Roman"/>
        </w:rPr>
      </w:pPr>
      <w:r w:rsidRPr="0043315F">
        <w:rPr>
          <w:rFonts w:ascii="Times New Roman" w:hAnsi="Times New Roman"/>
        </w:rPr>
        <w:t>ул. Юбилейная, 50.</w:t>
      </w:r>
    </w:p>
    <w:p w:rsidR="00B616D0" w:rsidRPr="00046082" w:rsidRDefault="004139CD" w:rsidP="004139CD">
      <w:pPr>
        <w:spacing w:after="0" w:line="240" w:lineRule="auto"/>
        <w:rPr>
          <w:rFonts w:ascii="Times New Roman" w:hAnsi="Times New Roman"/>
          <w:sz w:val="28"/>
          <w:szCs w:val="28"/>
        </w:rPr>
      </w:pPr>
      <w:r w:rsidRPr="0043315F">
        <w:rPr>
          <w:rFonts w:ascii="Times New Roman" w:hAnsi="Times New Roman"/>
          <w:b/>
        </w:rPr>
        <w:t xml:space="preserve">Соучредители:   </w:t>
      </w:r>
      <w:r w:rsidRPr="0043315F">
        <w:rPr>
          <w:rFonts w:ascii="Times New Roman" w:hAnsi="Times New Roman"/>
        </w:rPr>
        <w:t xml:space="preserve">Совет депутатов </w:t>
      </w:r>
      <w:proofErr w:type="spellStart"/>
      <w:r w:rsidRPr="0043315F">
        <w:rPr>
          <w:rFonts w:ascii="Times New Roman" w:hAnsi="Times New Roman"/>
        </w:rPr>
        <w:t>Травнинского</w:t>
      </w:r>
      <w:proofErr w:type="spellEnd"/>
      <w:r w:rsidRPr="0043315F">
        <w:rPr>
          <w:rFonts w:ascii="Times New Roman" w:hAnsi="Times New Roman"/>
        </w:rPr>
        <w:t xml:space="preserve"> сельсовета Доволенского района Новосибирской области; администрация </w:t>
      </w:r>
      <w:proofErr w:type="spellStart"/>
      <w:r w:rsidRPr="0043315F">
        <w:rPr>
          <w:rFonts w:ascii="Times New Roman" w:hAnsi="Times New Roman"/>
        </w:rPr>
        <w:t>Травнинского</w:t>
      </w:r>
      <w:proofErr w:type="spellEnd"/>
      <w:r w:rsidRPr="0043315F">
        <w:rPr>
          <w:rFonts w:ascii="Times New Roman" w:hAnsi="Times New Roman"/>
        </w:rPr>
        <w:t xml:space="preserve"> сельсовета Доволенского района Новосибирской обл</w:t>
      </w:r>
      <w:r>
        <w:rPr>
          <w:rFonts w:ascii="Times New Roman" w:hAnsi="Times New Roman"/>
        </w:rPr>
        <w:t>асти.</w:t>
      </w:r>
      <w:r w:rsidRPr="00046082">
        <w:rPr>
          <w:rFonts w:ascii="Times New Roman" w:hAnsi="Times New Roman"/>
          <w:sz w:val="28"/>
          <w:szCs w:val="28"/>
        </w:rPr>
        <w:t xml:space="preserve"> </w:t>
      </w:r>
    </w:p>
    <w:sectPr w:rsidR="00B616D0" w:rsidRPr="00046082" w:rsidSect="00F767B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B4" w:rsidRDefault="00BA4CB4">
      <w:pPr>
        <w:spacing w:after="0" w:line="240" w:lineRule="auto"/>
      </w:pPr>
      <w:r>
        <w:separator/>
      </w:r>
    </w:p>
  </w:endnote>
  <w:endnote w:type="continuationSeparator" w:id="0">
    <w:p w:rsidR="00BA4CB4" w:rsidRDefault="00BA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4063"/>
      <w:docPartObj>
        <w:docPartGallery w:val="Page Numbers (Bottom of Page)"/>
        <w:docPartUnique/>
      </w:docPartObj>
    </w:sdtPr>
    <w:sdtEndPr/>
    <w:sdtContent>
      <w:p w:rsidR="00CD0B0C" w:rsidRDefault="004365F5">
        <w:pPr>
          <w:pStyle w:val="a5"/>
          <w:jc w:val="center"/>
        </w:pPr>
        <w:r>
          <w:fldChar w:fldCharType="begin"/>
        </w:r>
        <w:r>
          <w:instrText>PAGE   \* MERGEFORMAT</w:instrText>
        </w:r>
        <w:r>
          <w:fldChar w:fldCharType="separate"/>
        </w:r>
        <w:r w:rsidR="0006304C">
          <w:rPr>
            <w:noProof/>
          </w:rPr>
          <w:t>1</w:t>
        </w:r>
        <w:r>
          <w:fldChar w:fldCharType="end"/>
        </w:r>
      </w:p>
    </w:sdtContent>
  </w:sdt>
  <w:p w:rsidR="00A92E81" w:rsidRDefault="00BA4C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B4" w:rsidRDefault="00BA4CB4">
      <w:pPr>
        <w:spacing w:after="0" w:line="240" w:lineRule="auto"/>
      </w:pPr>
      <w:r>
        <w:separator/>
      </w:r>
    </w:p>
  </w:footnote>
  <w:footnote w:type="continuationSeparator" w:id="0">
    <w:p w:rsidR="00BA4CB4" w:rsidRDefault="00BA4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1" w:rsidRDefault="00BA4CB4">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2C743FD"/>
    <w:multiLevelType w:val="singleLevel"/>
    <w:tmpl w:val="00000000"/>
    <w:lvl w:ilvl="0">
      <w:start w:val="1"/>
      <w:numFmt w:val="decimal"/>
      <w:lvlText w:val="%1)"/>
      <w:lvlJc w:val="left"/>
      <w:pPr>
        <w:tabs>
          <w:tab w:val="num" w:pos="540"/>
        </w:tabs>
        <w:ind w:left="540" w:hanging="300"/>
      </w:pPr>
    </w:lvl>
  </w:abstractNum>
  <w:abstractNum w:abstractNumId="6">
    <w:nsid w:val="173623E3"/>
    <w:multiLevelType w:val="singleLevel"/>
    <w:tmpl w:val="00000000"/>
    <w:lvl w:ilvl="0">
      <w:start w:val="1"/>
      <w:numFmt w:val="decimal"/>
      <w:lvlText w:val="%1)"/>
      <w:lvlJc w:val="left"/>
      <w:pPr>
        <w:tabs>
          <w:tab w:val="num" w:pos="540"/>
        </w:tabs>
        <w:ind w:left="540" w:hanging="300"/>
      </w:pPr>
    </w:lvl>
  </w:abstractNum>
  <w:abstractNum w:abstractNumId="7">
    <w:nsid w:val="25DF16A6"/>
    <w:multiLevelType w:val="singleLevel"/>
    <w:tmpl w:val="00000000"/>
    <w:lvl w:ilvl="0">
      <w:start w:val="1"/>
      <w:numFmt w:val="decimal"/>
      <w:lvlText w:val="%1)"/>
      <w:lvlJc w:val="left"/>
      <w:pPr>
        <w:tabs>
          <w:tab w:val="num" w:pos="540"/>
        </w:tabs>
        <w:ind w:left="540" w:hanging="300"/>
      </w:pPr>
    </w:lvl>
  </w:abstractNum>
  <w:abstractNum w:abstractNumId="8">
    <w:nsid w:val="2F3669F7"/>
    <w:multiLevelType w:val="singleLevel"/>
    <w:tmpl w:val="00000000"/>
    <w:lvl w:ilvl="0">
      <w:start w:val="1"/>
      <w:numFmt w:val="decimal"/>
      <w:lvlText w:val="%1)"/>
      <w:lvlJc w:val="left"/>
      <w:pPr>
        <w:tabs>
          <w:tab w:val="num" w:pos="540"/>
        </w:tabs>
        <w:ind w:left="540" w:hanging="300"/>
      </w:pPr>
    </w:lvl>
  </w:abstractNum>
  <w:abstractNum w:abstractNumId="9">
    <w:nsid w:val="316A6195"/>
    <w:multiLevelType w:val="singleLevel"/>
    <w:tmpl w:val="00000000"/>
    <w:lvl w:ilvl="0">
      <w:start w:val="1"/>
      <w:numFmt w:val="decimal"/>
      <w:lvlText w:val="%1)"/>
      <w:lvlJc w:val="left"/>
      <w:pPr>
        <w:tabs>
          <w:tab w:val="num" w:pos="540"/>
        </w:tabs>
        <w:ind w:left="540" w:hanging="300"/>
      </w:pPr>
    </w:lvl>
  </w:abstractNum>
  <w:abstractNum w:abstractNumId="10">
    <w:nsid w:val="3F6A7931"/>
    <w:multiLevelType w:val="singleLevel"/>
    <w:tmpl w:val="00000000"/>
    <w:lvl w:ilvl="0">
      <w:start w:val="1"/>
      <w:numFmt w:val="decimal"/>
      <w:lvlText w:val="%1)"/>
      <w:lvlJc w:val="left"/>
      <w:pPr>
        <w:tabs>
          <w:tab w:val="num" w:pos="540"/>
        </w:tabs>
        <w:ind w:left="540" w:hanging="300"/>
      </w:pPr>
    </w:lvl>
  </w:abstractNum>
  <w:abstractNum w:abstractNumId="11">
    <w:nsid w:val="41325AAC"/>
    <w:multiLevelType w:val="singleLevel"/>
    <w:tmpl w:val="00000000"/>
    <w:lvl w:ilvl="0">
      <w:start w:val="1"/>
      <w:numFmt w:val="decimal"/>
      <w:lvlText w:val="%1)"/>
      <w:lvlJc w:val="left"/>
      <w:pPr>
        <w:tabs>
          <w:tab w:val="num" w:pos="540"/>
        </w:tabs>
        <w:ind w:left="540" w:hanging="300"/>
      </w:pPr>
    </w:lvl>
  </w:abstractNum>
  <w:abstractNum w:abstractNumId="12">
    <w:nsid w:val="4476214E"/>
    <w:multiLevelType w:val="singleLevel"/>
    <w:tmpl w:val="00000000"/>
    <w:lvl w:ilvl="0">
      <w:start w:val="1"/>
      <w:numFmt w:val="decimal"/>
      <w:lvlText w:val="%1)"/>
      <w:lvlJc w:val="left"/>
      <w:pPr>
        <w:tabs>
          <w:tab w:val="num" w:pos="540"/>
        </w:tabs>
        <w:ind w:left="540" w:hanging="300"/>
      </w:pPr>
    </w:lvl>
  </w:abstractNum>
  <w:abstractNum w:abstractNumId="13">
    <w:nsid w:val="44F707E8"/>
    <w:multiLevelType w:val="singleLevel"/>
    <w:tmpl w:val="00000000"/>
    <w:lvl w:ilvl="0">
      <w:start w:val="1"/>
      <w:numFmt w:val="decimal"/>
      <w:lvlText w:val="%1)"/>
      <w:lvlJc w:val="left"/>
      <w:pPr>
        <w:tabs>
          <w:tab w:val="num" w:pos="540"/>
        </w:tabs>
        <w:ind w:left="540" w:hanging="300"/>
      </w:pPr>
    </w:lvl>
  </w:abstractNum>
  <w:abstractNum w:abstractNumId="14">
    <w:nsid w:val="47B6645C"/>
    <w:multiLevelType w:val="singleLevel"/>
    <w:tmpl w:val="00000000"/>
    <w:lvl w:ilvl="0">
      <w:start w:val="1"/>
      <w:numFmt w:val="decimal"/>
      <w:lvlText w:val="%1)"/>
      <w:lvlJc w:val="left"/>
      <w:pPr>
        <w:tabs>
          <w:tab w:val="num" w:pos="540"/>
        </w:tabs>
        <w:ind w:left="540" w:hanging="300"/>
      </w:pPr>
    </w:lvl>
  </w:abstractNum>
  <w:abstractNum w:abstractNumId="15">
    <w:nsid w:val="4B42627F"/>
    <w:multiLevelType w:val="singleLevel"/>
    <w:tmpl w:val="00000000"/>
    <w:lvl w:ilvl="0">
      <w:start w:val="1"/>
      <w:numFmt w:val="decimal"/>
      <w:lvlText w:val="%1)"/>
      <w:lvlJc w:val="left"/>
      <w:pPr>
        <w:tabs>
          <w:tab w:val="num" w:pos="540"/>
        </w:tabs>
        <w:ind w:left="540" w:hanging="300"/>
      </w:pPr>
    </w:lvl>
  </w:abstractNum>
  <w:abstractNum w:abstractNumId="16">
    <w:nsid w:val="4E416251"/>
    <w:multiLevelType w:val="singleLevel"/>
    <w:tmpl w:val="00000000"/>
    <w:lvl w:ilvl="0">
      <w:start w:val="1"/>
      <w:numFmt w:val="decimal"/>
      <w:lvlText w:val="%1)"/>
      <w:lvlJc w:val="left"/>
      <w:pPr>
        <w:tabs>
          <w:tab w:val="num" w:pos="540"/>
        </w:tabs>
        <w:ind w:left="540" w:hanging="300"/>
      </w:pPr>
    </w:lvl>
  </w:abstractNum>
  <w:abstractNum w:abstractNumId="17">
    <w:nsid w:val="51600688"/>
    <w:multiLevelType w:val="singleLevel"/>
    <w:tmpl w:val="00000000"/>
    <w:lvl w:ilvl="0">
      <w:start w:val="1"/>
      <w:numFmt w:val="decimal"/>
      <w:lvlText w:val="%1)"/>
      <w:lvlJc w:val="left"/>
      <w:pPr>
        <w:tabs>
          <w:tab w:val="num" w:pos="540"/>
        </w:tabs>
        <w:ind w:left="540" w:hanging="300"/>
      </w:pPr>
    </w:lvl>
  </w:abstractNum>
  <w:abstractNum w:abstractNumId="18">
    <w:nsid w:val="550F717A"/>
    <w:multiLevelType w:val="singleLevel"/>
    <w:tmpl w:val="00000000"/>
    <w:lvl w:ilvl="0">
      <w:start w:val="1"/>
      <w:numFmt w:val="decimal"/>
      <w:lvlText w:val="%1)"/>
      <w:lvlJc w:val="left"/>
      <w:pPr>
        <w:tabs>
          <w:tab w:val="num" w:pos="540"/>
        </w:tabs>
        <w:ind w:left="540" w:hanging="300"/>
      </w:pPr>
    </w:lvl>
  </w:abstractNum>
  <w:abstractNum w:abstractNumId="19">
    <w:nsid w:val="56D45623"/>
    <w:multiLevelType w:val="singleLevel"/>
    <w:tmpl w:val="00000000"/>
    <w:lvl w:ilvl="0">
      <w:start w:val="1"/>
      <w:numFmt w:val="decimal"/>
      <w:lvlText w:val="%1)"/>
      <w:lvlJc w:val="left"/>
      <w:pPr>
        <w:tabs>
          <w:tab w:val="num" w:pos="540"/>
        </w:tabs>
        <w:ind w:left="540" w:hanging="300"/>
      </w:pPr>
    </w:lvl>
  </w:abstractNum>
  <w:abstractNum w:abstractNumId="20">
    <w:nsid w:val="57BC7F55"/>
    <w:multiLevelType w:val="singleLevel"/>
    <w:tmpl w:val="00000000"/>
    <w:lvl w:ilvl="0">
      <w:start w:val="1"/>
      <w:numFmt w:val="decimal"/>
      <w:lvlText w:val="%1)"/>
      <w:lvlJc w:val="left"/>
      <w:pPr>
        <w:tabs>
          <w:tab w:val="num" w:pos="540"/>
        </w:tabs>
        <w:ind w:left="540" w:hanging="300"/>
      </w:pPr>
    </w:lvl>
  </w:abstractNum>
  <w:abstractNum w:abstractNumId="21">
    <w:nsid w:val="62701F59"/>
    <w:multiLevelType w:val="singleLevel"/>
    <w:tmpl w:val="00000000"/>
    <w:lvl w:ilvl="0">
      <w:start w:val="1"/>
      <w:numFmt w:val="decimal"/>
      <w:lvlText w:val="%1)"/>
      <w:lvlJc w:val="left"/>
      <w:pPr>
        <w:tabs>
          <w:tab w:val="num" w:pos="540"/>
        </w:tabs>
        <w:ind w:left="540" w:hanging="300"/>
      </w:pPr>
    </w:lvl>
  </w:abstractNum>
  <w:abstractNum w:abstractNumId="22">
    <w:nsid w:val="65DE376B"/>
    <w:multiLevelType w:val="singleLevel"/>
    <w:tmpl w:val="00000000"/>
    <w:lvl w:ilvl="0">
      <w:start w:val="1"/>
      <w:numFmt w:val="decimal"/>
      <w:lvlText w:val="%1)"/>
      <w:lvlJc w:val="left"/>
      <w:pPr>
        <w:tabs>
          <w:tab w:val="num" w:pos="540"/>
        </w:tabs>
        <w:ind w:left="540" w:hanging="300"/>
      </w:pPr>
    </w:lvl>
  </w:abstractNum>
  <w:abstractNum w:abstractNumId="23">
    <w:nsid w:val="7440117E"/>
    <w:multiLevelType w:val="singleLevel"/>
    <w:tmpl w:val="00000000"/>
    <w:lvl w:ilvl="0">
      <w:start w:val="1"/>
      <w:numFmt w:val="decimal"/>
      <w:lvlText w:val="%1)"/>
      <w:lvlJc w:val="left"/>
      <w:pPr>
        <w:tabs>
          <w:tab w:val="num" w:pos="540"/>
        </w:tabs>
        <w:ind w:left="540" w:hanging="300"/>
      </w:pPr>
    </w:lvl>
  </w:abstractNum>
  <w:abstractNum w:abstractNumId="24">
    <w:nsid w:val="78354B12"/>
    <w:multiLevelType w:val="singleLevel"/>
    <w:tmpl w:val="00000000"/>
    <w:lvl w:ilvl="0">
      <w:start w:val="1"/>
      <w:numFmt w:val="decimal"/>
      <w:lvlText w:val="%1)"/>
      <w:lvlJc w:val="left"/>
      <w:pPr>
        <w:tabs>
          <w:tab w:val="num" w:pos="540"/>
        </w:tabs>
        <w:ind w:left="540" w:hanging="300"/>
      </w:pPr>
    </w:lvl>
  </w:abstractNum>
  <w:abstractNum w:abstractNumId="25">
    <w:nsid w:val="7DC955F1"/>
    <w:multiLevelType w:val="singleLevel"/>
    <w:tmpl w:val="00000000"/>
    <w:lvl w:ilvl="0">
      <w:start w:val="1"/>
      <w:numFmt w:val="decimal"/>
      <w:lvlText w:val="%1)"/>
      <w:lvlJc w:val="left"/>
      <w:pPr>
        <w:tabs>
          <w:tab w:val="num" w:pos="540"/>
        </w:tabs>
        <w:ind w:left="540" w:hanging="300"/>
      </w:pPr>
    </w:lvl>
  </w:abstractNum>
  <w:abstractNum w:abstractNumId="26">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2245"/>
    <w:rsid w:val="000004B5"/>
    <w:rsid w:val="00020039"/>
    <w:rsid w:val="00046082"/>
    <w:rsid w:val="0006304C"/>
    <w:rsid w:val="0007604B"/>
    <w:rsid w:val="00096DA6"/>
    <w:rsid w:val="000C48B1"/>
    <w:rsid w:val="000F4F14"/>
    <w:rsid w:val="0010355A"/>
    <w:rsid w:val="00136B5B"/>
    <w:rsid w:val="001B6C17"/>
    <w:rsid w:val="001C731F"/>
    <w:rsid w:val="002063F5"/>
    <w:rsid w:val="00206C05"/>
    <w:rsid w:val="002142A7"/>
    <w:rsid w:val="0022462F"/>
    <w:rsid w:val="0022769B"/>
    <w:rsid w:val="0023059F"/>
    <w:rsid w:val="002A0B03"/>
    <w:rsid w:val="002B38D4"/>
    <w:rsid w:val="002F014F"/>
    <w:rsid w:val="00301C44"/>
    <w:rsid w:val="00303369"/>
    <w:rsid w:val="00304DE4"/>
    <w:rsid w:val="0030745D"/>
    <w:rsid w:val="0031004B"/>
    <w:rsid w:val="003661B6"/>
    <w:rsid w:val="003C0C24"/>
    <w:rsid w:val="003C3527"/>
    <w:rsid w:val="004139CD"/>
    <w:rsid w:val="0042177C"/>
    <w:rsid w:val="004365F5"/>
    <w:rsid w:val="004574C9"/>
    <w:rsid w:val="00461FA0"/>
    <w:rsid w:val="00483552"/>
    <w:rsid w:val="004A7BE8"/>
    <w:rsid w:val="004E45B6"/>
    <w:rsid w:val="005802A9"/>
    <w:rsid w:val="00597729"/>
    <w:rsid w:val="005A42D2"/>
    <w:rsid w:val="005A4E2C"/>
    <w:rsid w:val="005F6032"/>
    <w:rsid w:val="00622FA0"/>
    <w:rsid w:val="0062515E"/>
    <w:rsid w:val="006810A2"/>
    <w:rsid w:val="006C6223"/>
    <w:rsid w:val="006D281B"/>
    <w:rsid w:val="006E73DB"/>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A4CB4"/>
    <w:rsid w:val="00BF3AF4"/>
    <w:rsid w:val="00CC6843"/>
    <w:rsid w:val="00CD49D1"/>
    <w:rsid w:val="00D11CD8"/>
    <w:rsid w:val="00D34F92"/>
    <w:rsid w:val="00D40A91"/>
    <w:rsid w:val="00D622DF"/>
    <w:rsid w:val="00D65AAE"/>
    <w:rsid w:val="00D73D59"/>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 w:type="paragraph" w:styleId="a5">
    <w:name w:val="footer"/>
    <w:aliases w:val=" Знак Знак"/>
    <w:basedOn w:val="a"/>
    <w:link w:val="a6"/>
    <w:uiPriority w:val="99"/>
    <w:unhideWhenUsed/>
    <w:rsid w:val="004139CD"/>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Нижний колонтитул Знак"/>
    <w:aliases w:val=" Знак Знак Знак"/>
    <w:basedOn w:val="a0"/>
    <w:link w:val="a5"/>
    <w:uiPriority w:val="99"/>
    <w:rsid w:val="004139CD"/>
    <w:rPr>
      <w:rFonts w:eastAsia="Times New Roman" w:cs="Times New Roman"/>
      <w:sz w:val="24"/>
      <w:szCs w:val="24"/>
      <w:lang w:eastAsia="ru-RU"/>
    </w:rPr>
  </w:style>
  <w:style w:type="paragraph" w:styleId="a7">
    <w:name w:val="Body Text"/>
    <w:basedOn w:val="a"/>
    <w:link w:val="a8"/>
    <w:semiHidden/>
    <w:unhideWhenUsed/>
    <w:rsid w:val="004139CD"/>
    <w:pPr>
      <w:spacing w:after="120" w:line="240" w:lineRule="auto"/>
    </w:pPr>
    <w:rPr>
      <w:rFonts w:ascii="Times New Roman" w:hAnsi="Times New Roman"/>
      <w:sz w:val="24"/>
      <w:szCs w:val="24"/>
      <w:lang w:eastAsia="ru-RU"/>
    </w:rPr>
  </w:style>
  <w:style w:type="character" w:customStyle="1" w:styleId="a8">
    <w:name w:val="Основной текст Знак"/>
    <w:basedOn w:val="a0"/>
    <w:link w:val="a7"/>
    <w:semiHidden/>
    <w:rsid w:val="004139CD"/>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8163</Words>
  <Characters>46535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2</cp:revision>
  <cp:lastPrinted>2024-04-02T03:12:00Z</cp:lastPrinted>
  <dcterms:created xsi:type="dcterms:W3CDTF">2024-04-02T04:40:00Z</dcterms:created>
  <dcterms:modified xsi:type="dcterms:W3CDTF">2024-04-02T04:40:00Z</dcterms:modified>
</cp:coreProperties>
</file>