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C2" w:rsidRDefault="004367C2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367C2" w:rsidRDefault="004367C2">
      <w:pPr>
        <w:pStyle w:val="ConsPlusNormal"/>
        <w:outlineLvl w:val="0"/>
      </w:pPr>
    </w:p>
    <w:p w:rsidR="004367C2" w:rsidRDefault="004367C2">
      <w:pPr>
        <w:pStyle w:val="ConsPlusTitle"/>
        <w:jc w:val="center"/>
        <w:outlineLvl w:val="0"/>
      </w:pPr>
      <w:r>
        <w:t>ГУБЕРНАТОР НОВОСИБИРСКОЙ ОБЛАСТИ</w:t>
      </w:r>
    </w:p>
    <w:p w:rsidR="004367C2" w:rsidRDefault="004367C2">
      <w:pPr>
        <w:pStyle w:val="ConsPlusTitle"/>
        <w:jc w:val="center"/>
      </w:pPr>
    </w:p>
    <w:p w:rsidR="004367C2" w:rsidRDefault="004367C2">
      <w:pPr>
        <w:pStyle w:val="ConsPlusTitle"/>
        <w:jc w:val="center"/>
      </w:pPr>
      <w:r>
        <w:t>ПОСТАНОВЛЕНИЕ</w:t>
      </w:r>
    </w:p>
    <w:p w:rsidR="004367C2" w:rsidRDefault="004367C2">
      <w:pPr>
        <w:pStyle w:val="ConsPlusTitle"/>
        <w:jc w:val="center"/>
      </w:pPr>
      <w:r>
        <w:t>от 6 октября 2008 г. N 399</w:t>
      </w:r>
    </w:p>
    <w:p w:rsidR="004367C2" w:rsidRDefault="004367C2">
      <w:pPr>
        <w:pStyle w:val="ConsPlusTitle"/>
        <w:jc w:val="center"/>
      </w:pPr>
    </w:p>
    <w:p w:rsidR="004367C2" w:rsidRDefault="004367C2">
      <w:pPr>
        <w:pStyle w:val="ConsPlusTitle"/>
        <w:jc w:val="center"/>
      </w:pPr>
      <w:r>
        <w:t>ОБ УТВЕРЖДЕНИИ ПОРЯДКА ВЕДЕНИЯ РЕЕСТРА ГОСУДАРСТВЕННЫХ</w:t>
      </w:r>
    </w:p>
    <w:p w:rsidR="004367C2" w:rsidRDefault="004367C2">
      <w:pPr>
        <w:pStyle w:val="ConsPlusTitle"/>
        <w:jc w:val="center"/>
      </w:pPr>
      <w:r>
        <w:t>ГРАЖДАНСКИХ СЛУЖАЩИХ НОВОСИБИРСКОЙ ОБЛАСТИ</w:t>
      </w:r>
    </w:p>
    <w:p w:rsidR="004367C2" w:rsidRDefault="004367C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367C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367C2" w:rsidRDefault="004367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67C2" w:rsidRDefault="004367C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Новосибирской области</w:t>
            </w:r>
          </w:p>
          <w:p w:rsidR="004367C2" w:rsidRDefault="004367C2">
            <w:pPr>
              <w:pStyle w:val="ConsPlusNormal"/>
              <w:jc w:val="center"/>
            </w:pPr>
            <w:r>
              <w:rPr>
                <w:color w:val="392C69"/>
              </w:rPr>
              <w:t>от 21.09.2010 N 304)</w:t>
            </w:r>
          </w:p>
        </w:tc>
      </w:tr>
    </w:tbl>
    <w:p w:rsidR="004367C2" w:rsidRDefault="004367C2">
      <w:pPr>
        <w:pStyle w:val="ConsPlusNormal"/>
      </w:pPr>
    </w:p>
    <w:p w:rsidR="004367C2" w:rsidRDefault="004367C2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15</w:t>
        </w:r>
      </w:hyperlink>
      <w:r>
        <w:t xml:space="preserve"> Федерального закона от 27.05.2003 N 58-ФЗ "О системе государственной службы Российской Федерации", </w:t>
      </w:r>
      <w:hyperlink r:id="rId8" w:history="1">
        <w:r>
          <w:rPr>
            <w:color w:val="0000FF"/>
          </w:rPr>
          <w:t>статьей 43</w:t>
        </w:r>
      </w:hyperlink>
      <w:r>
        <w:t xml:space="preserve"> Федерального закона от 27.07.2004 N 79-ФЗ "О государственной гражданской службе Российской Федерации", </w:t>
      </w:r>
      <w:hyperlink r:id="rId9" w:history="1">
        <w:r>
          <w:rPr>
            <w:color w:val="0000FF"/>
          </w:rPr>
          <w:t>статьей 13</w:t>
        </w:r>
      </w:hyperlink>
      <w:r>
        <w:t xml:space="preserve"> Закона Новосибирской области от 01.02.2005 N 265-ОЗ "О государственной гражданской службе Новосибирской области" постановляю: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26" w:history="1">
        <w:r>
          <w:rPr>
            <w:color w:val="0000FF"/>
          </w:rPr>
          <w:t>Порядок</w:t>
        </w:r>
      </w:hyperlink>
      <w:r>
        <w:t xml:space="preserve"> ведения Реестра государственных гражданских служащих Новосибирской области.</w:t>
      </w: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jc w:val="right"/>
      </w:pPr>
      <w:r>
        <w:t>В.А.ТОЛОКОНСКИЙ</w:t>
      </w: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jc w:val="right"/>
        <w:outlineLvl w:val="0"/>
      </w:pPr>
      <w:r>
        <w:t>Утвержден</w:t>
      </w:r>
    </w:p>
    <w:p w:rsidR="004367C2" w:rsidRDefault="004367C2">
      <w:pPr>
        <w:pStyle w:val="ConsPlusNormal"/>
        <w:jc w:val="right"/>
      </w:pPr>
      <w:r>
        <w:t>постановлением</w:t>
      </w:r>
    </w:p>
    <w:p w:rsidR="004367C2" w:rsidRDefault="004367C2">
      <w:pPr>
        <w:pStyle w:val="ConsPlusNormal"/>
        <w:jc w:val="right"/>
      </w:pPr>
      <w:r>
        <w:t>Губернатора Новосибирской области</w:t>
      </w:r>
    </w:p>
    <w:p w:rsidR="004367C2" w:rsidRDefault="004367C2">
      <w:pPr>
        <w:pStyle w:val="ConsPlusNormal"/>
        <w:jc w:val="right"/>
      </w:pPr>
      <w:r>
        <w:t>от 06.10.2008 N 399</w:t>
      </w: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Title"/>
        <w:jc w:val="center"/>
      </w:pPr>
      <w:bookmarkStart w:id="1" w:name="P26"/>
      <w:bookmarkEnd w:id="1"/>
      <w:r>
        <w:t>ПОРЯДОК</w:t>
      </w:r>
    </w:p>
    <w:p w:rsidR="004367C2" w:rsidRDefault="004367C2">
      <w:pPr>
        <w:pStyle w:val="ConsPlusTitle"/>
        <w:jc w:val="center"/>
      </w:pPr>
      <w:r>
        <w:t>ВЕДЕНИЯ РЕЕСТРА ГОСУДАРСТВЕННЫХ ГРАЖДАНСКИХ</w:t>
      </w:r>
    </w:p>
    <w:p w:rsidR="004367C2" w:rsidRDefault="004367C2">
      <w:pPr>
        <w:pStyle w:val="ConsPlusTitle"/>
        <w:jc w:val="center"/>
      </w:pPr>
      <w:r>
        <w:t>СЛУЖАЩИХ НОВОСИБИРСКОЙ ОБЛАСТИ</w:t>
      </w:r>
    </w:p>
    <w:p w:rsidR="004367C2" w:rsidRDefault="004367C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367C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367C2" w:rsidRDefault="004367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67C2" w:rsidRDefault="004367C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Новосибирской области</w:t>
            </w:r>
          </w:p>
          <w:p w:rsidR="004367C2" w:rsidRDefault="004367C2">
            <w:pPr>
              <w:pStyle w:val="ConsPlusNormal"/>
              <w:jc w:val="center"/>
            </w:pPr>
            <w:r>
              <w:rPr>
                <w:color w:val="392C69"/>
              </w:rPr>
              <w:t>от 21.09.2010 N 304)</w:t>
            </w:r>
          </w:p>
        </w:tc>
      </w:tr>
    </w:tbl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  <w:r>
        <w:t xml:space="preserve">1. Настоящий Порядок ведения Реестра государственных гражданских служащих Новосибирской области разработан в соответствии с Федеральными законами от 27.05.2003 </w:t>
      </w:r>
      <w:hyperlink r:id="rId11" w:history="1">
        <w:r>
          <w:rPr>
            <w:color w:val="0000FF"/>
          </w:rPr>
          <w:t>N 58-ФЗ</w:t>
        </w:r>
      </w:hyperlink>
      <w:r>
        <w:t xml:space="preserve"> "О системе государственной службы Российской Федерации", от 27.07.2004 </w:t>
      </w:r>
      <w:hyperlink r:id="rId12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Федерации", со </w:t>
      </w:r>
      <w:hyperlink r:id="rId13" w:history="1">
        <w:r>
          <w:rPr>
            <w:color w:val="0000FF"/>
          </w:rPr>
          <w:t>статьей 13</w:t>
        </w:r>
      </w:hyperlink>
      <w:r>
        <w:t xml:space="preserve"> Закона Новосибирской области от 01.02.2005 N 265-ОЗ "О государственной гражданской службе Новосибирской области" и устанавливает правила формирования и ведения Реестра государственных гражданских служащих Новосибирской области с целью организации учета и создания единой базы данных о прохождении государственными гражданскими служащими Новосибирской области (далее - гражданские служащие) государственной гражданской службы </w:t>
      </w:r>
      <w:r>
        <w:lastRenderedPageBreak/>
        <w:t>Новосибирской области (далее - гражданской службы).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2. Реестр государственных гражданских служащих Новосибирской области (далее - Реестр гражданских служащих Новосибирской области) формируется из реестров государственных гражданских служащих, которые ведутся в органах государственной власти Новосибирской области, государственных органах Новосибирской области (далее - реестры гражданских служащих в государственных органах).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 xml:space="preserve">3. Ведение Реестра гражданских служащих Новосибирской области осуществляется департаментом организации управления администрации Губернатора Новосибирской области и Правительства Новосибирской области по прилагаемой к настоящему Порядку </w:t>
      </w:r>
      <w:hyperlink w:anchor="P63" w:history="1">
        <w:r>
          <w:rPr>
            <w:color w:val="0000FF"/>
          </w:rPr>
          <w:t>форме</w:t>
        </w:r>
      </w:hyperlink>
      <w:r>
        <w:t xml:space="preserve"> и хранится на электронных носителях с обеспечением защиты от несанкционированного доступа и копирования.</w:t>
      </w:r>
    </w:p>
    <w:p w:rsidR="004367C2" w:rsidRDefault="004367C2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21.09.2010 N 304)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4. Реестры гражданских служащих в государственных органах представляют собой совокупность систематизированных сведений о гражданских служащих, проходящих гражданскую службу в этих органах, составленных на основании персональных данных, содержащихся в личных делах гражданских служащих в соответствии с действующим законодательством.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 xml:space="preserve">5. Реестры гражданских служащих в государственных органах формируются структурными подразделениями этих органов по вопросам государственной гражданской службы и кадров в соответствии с настоящим Порядком, ведутся по прилагаемой к нему </w:t>
      </w:r>
      <w:hyperlink w:anchor="P63" w:history="1">
        <w:r>
          <w:rPr>
            <w:color w:val="0000FF"/>
          </w:rPr>
          <w:t>форме</w:t>
        </w:r>
      </w:hyperlink>
      <w:r>
        <w:t xml:space="preserve"> и хранятся на электронных носителях с обеспечением защиты от несанкционированного доступа и копирования.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6. Сведения о гражданине Российской Федерации, поступившем на гражданскую службу, или гражданском служащем вносятся в реестр гражданских служащих в государственном органе не позднее пяти дней со дня его назначения на должность государственной гражданской службы Новосибирской области (далее - должность гражданской службы) в государственном органе Новосибирской области.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7. Гражданский служащий, служебный контракт с которым приостанавливается по обстоятельствам, не зависящим от воли сторон, с освобождением от замещаемой должности гражданской службы, остается в реестре гражданских служащих в государственном органе до прекращения служебного контракта, освобождения гражданского служащего от замещаемой должности гражданской службы и увольнения с гражданской службы.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8. При прекращении или расторжении служебного контракта, освобождении от замещаемой должности гражданской службы и увольнении с гражданской службы гражданский служащий исключается из реестра гражданских служащих в государственном органе в день, следующий за днем прекращения или расторжения служебного контракта, освобождения гражданского служащего от замещаемой должности гражданской службы и увольнения с гражданской службы.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9. В случае смерти (гибели) гражданского служащего либо признания гражданского служащего безвестно отсутствующим или объявления его умершим решением суда, вступившим в законную силу, служебный контракт прекращается, а гражданский служащий исключается из реестра гражданских служащих в государственном органе в день, следующий за днем смерти (гибели) гражданского служащего или днем вступления в законную силу решения суда.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10. Изменения учетных данных гражданского служащего вносятся в реестр гражданских служащих в государственном органе не позднее пяти дней со дня их изменения, подтвержденного необходимыми документами.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 xml:space="preserve">11. Сведения об изменениях в реестре гражданских служащих в государственном органе ежемесячно (по состоянию на последнее число текущего месяца) направляются руководителем </w:t>
      </w:r>
      <w:r>
        <w:lastRenderedPageBreak/>
        <w:t xml:space="preserve">государственного органа в департамент организации управления администрации Губернатора Новосибирской области и Правительства Новосибирской области на электронных носителях по прилагаемой </w:t>
      </w:r>
      <w:hyperlink w:anchor="P63" w:history="1">
        <w:r>
          <w:rPr>
            <w:color w:val="0000FF"/>
          </w:rPr>
          <w:t>форме</w:t>
        </w:r>
      </w:hyperlink>
      <w:r>
        <w:t>.</w:t>
      </w:r>
    </w:p>
    <w:p w:rsidR="004367C2" w:rsidRDefault="004367C2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21.09.2010 N 304)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12. Сведения, внесенные в реестры гражданских служащих в государственных органах и в Реестр гражданских служащих Новосибирской области, относятся к сведениям конфиденциального характера, а в случаях, установленных федеральными законами и иными нормативными правовыми актами Российской Федерации, - к сведениям, составляющим государственную тайну.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13. Получение, обработка, хранение, передача персональных данных гражданских служащих, в том числе их хранение на электронных носителях с защитой от несанкционированного доступа и копирования, при ведении Реестра гражданских служащих Новосибирской области, реестра гражданских служащих в государственном органе осуществляются в соответствии с требованиями, установленными федеральными законами и иными нормативными правовыми актами Российской Федерации в области персональных данных.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В случае, если сведения, включаемые в Реестр гражданских служащих Новосибирской области, реестры гражданских служащих в государственных органах, отнесены к сведениям, составляющим государственную тайну, их получение, обработка, хранение и передача при ведении указанных реестров осуществляются в соответствии с законодательством Российской Федерации о государственной тайне.</w:t>
      </w:r>
    </w:p>
    <w:p w:rsidR="004367C2" w:rsidRDefault="004367C2">
      <w:pPr>
        <w:pStyle w:val="ConsPlusNormal"/>
        <w:spacing w:before="220"/>
        <w:ind w:firstLine="540"/>
        <w:jc w:val="both"/>
      </w:pPr>
      <w:r>
        <w:t>14. Лица, в должностные обязанности которых входит формирование и ведение Реестра гражданских служащих Новосибирской области, реестра гражданских служащих в государственных органах, несут ответственность, предусмотренную действующим законодательством за недостоверное или несвоевременное внесение в них сведений, а также за несоблюдение требований действующего законодательства о защите персональных данных.</w:t>
      </w: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jc w:val="right"/>
        <w:outlineLvl w:val="1"/>
      </w:pPr>
      <w:r>
        <w:t>Приложение</w:t>
      </w:r>
    </w:p>
    <w:p w:rsidR="004367C2" w:rsidRDefault="004367C2">
      <w:pPr>
        <w:pStyle w:val="ConsPlusNormal"/>
        <w:jc w:val="right"/>
      </w:pPr>
      <w:r>
        <w:t>к Порядку ведения</w:t>
      </w:r>
    </w:p>
    <w:p w:rsidR="004367C2" w:rsidRDefault="004367C2">
      <w:pPr>
        <w:pStyle w:val="ConsPlusNormal"/>
        <w:jc w:val="right"/>
      </w:pPr>
      <w:r>
        <w:t>Реестра государственных</w:t>
      </w:r>
    </w:p>
    <w:p w:rsidR="004367C2" w:rsidRDefault="004367C2">
      <w:pPr>
        <w:pStyle w:val="ConsPlusNormal"/>
        <w:jc w:val="right"/>
      </w:pPr>
      <w:r>
        <w:t>гражданских служащих</w:t>
      </w:r>
    </w:p>
    <w:p w:rsidR="004367C2" w:rsidRDefault="004367C2">
      <w:pPr>
        <w:pStyle w:val="ConsPlusNormal"/>
        <w:jc w:val="right"/>
      </w:pPr>
      <w:r>
        <w:t>Новосибирской области</w:t>
      </w: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jc w:val="right"/>
      </w:pPr>
      <w:r>
        <w:t>Форма</w:t>
      </w: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jc w:val="center"/>
      </w:pPr>
      <w:bookmarkStart w:id="2" w:name="P63"/>
      <w:bookmarkEnd w:id="2"/>
      <w:r>
        <w:t>РЕЕСТР</w:t>
      </w:r>
    </w:p>
    <w:p w:rsidR="004367C2" w:rsidRDefault="004367C2">
      <w:pPr>
        <w:pStyle w:val="ConsPlusNormal"/>
        <w:jc w:val="center"/>
      </w:pPr>
      <w:r>
        <w:t>государственных гражданских служащих Новосибирской области</w:t>
      </w:r>
    </w:p>
    <w:p w:rsidR="004367C2" w:rsidRDefault="004367C2">
      <w:pPr>
        <w:pStyle w:val="ConsPlusNormal"/>
        <w:ind w:firstLine="540"/>
        <w:jc w:val="both"/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5"/>
        <w:gridCol w:w="1134"/>
        <w:gridCol w:w="486"/>
        <w:gridCol w:w="567"/>
        <w:gridCol w:w="648"/>
        <w:gridCol w:w="810"/>
        <w:gridCol w:w="810"/>
        <w:gridCol w:w="729"/>
        <w:gridCol w:w="810"/>
        <w:gridCol w:w="648"/>
        <w:gridCol w:w="648"/>
        <w:gridCol w:w="567"/>
        <w:gridCol w:w="729"/>
      </w:tblGrid>
      <w:tr w:rsidR="004367C2">
        <w:trPr>
          <w:trHeight w:val="183"/>
        </w:trPr>
        <w:tc>
          <w:tcPr>
            <w:tcW w:w="405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N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п/п</w:t>
            </w:r>
          </w:p>
        </w:tc>
        <w:tc>
          <w:tcPr>
            <w:tcW w:w="1134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Наименование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должности  </w:t>
            </w:r>
          </w:p>
        </w:tc>
        <w:tc>
          <w:tcPr>
            <w:tcW w:w="486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ФИО </w:t>
            </w:r>
          </w:p>
        </w:tc>
        <w:tc>
          <w:tcPr>
            <w:tcW w:w="567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Дата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рож-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дения</w:t>
            </w:r>
            <w:proofErr w:type="spellEnd"/>
          </w:p>
        </w:tc>
        <w:tc>
          <w:tcPr>
            <w:tcW w:w="648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Дата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назна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чения</w:t>
            </w:r>
            <w:proofErr w:type="spellEnd"/>
            <w:r>
              <w:rPr>
                <w:sz w:val="14"/>
              </w:rPr>
              <w:t xml:space="preserve">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на  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долж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ность</w:t>
            </w:r>
            <w:proofErr w:type="spellEnd"/>
            <w:r>
              <w:rPr>
                <w:sz w:val="14"/>
              </w:rPr>
              <w:t xml:space="preserve"> </w:t>
            </w:r>
          </w:p>
        </w:tc>
        <w:tc>
          <w:tcPr>
            <w:tcW w:w="810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Уровень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профес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сиона</w:t>
            </w:r>
            <w:proofErr w:type="spellEnd"/>
            <w:r>
              <w:rPr>
                <w:sz w:val="14"/>
              </w:rPr>
              <w:t xml:space="preserve">-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льного</w:t>
            </w:r>
            <w:proofErr w:type="spellEnd"/>
            <w:r>
              <w:rPr>
                <w:sz w:val="14"/>
              </w:rPr>
              <w:t xml:space="preserve">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образо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вания</w:t>
            </w:r>
            <w:proofErr w:type="spellEnd"/>
            <w:r>
              <w:rPr>
                <w:sz w:val="14"/>
              </w:rPr>
              <w:t xml:space="preserve">,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наиме</w:t>
            </w:r>
            <w:proofErr w:type="spellEnd"/>
            <w:r>
              <w:rPr>
                <w:sz w:val="14"/>
              </w:rPr>
              <w:t xml:space="preserve">-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нование</w:t>
            </w:r>
            <w:proofErr w:type="spellEnd"/>
            <w:r>
              <w:rPr>
                <w:sz w:val="14"/>
              </w:rPr>
              <w:t xml:space="preserve">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учебного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заведе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ния</w:t>
            </w:r>
            <w:proofErr w:type="spellEnd"/>
            <w:r>
              <w:rPr>
                <w:sz w:val="14"/>
              </w:rPr>
              <w:t xml:space="preserve"> и 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год его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оконча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ния</w:t>
            </w:r>
            <w:proofErr w:type="spellEnd"/>
            <w:r>
              <w:rPr>
                <w:sz w:val="14"/>
              </w:rPr>
              <w:t xml:space="preserve">     </w:t>
            </w:r>
          </w:p>
        </w:tc>
        <w:tc>
          <w:tcPr>
            <w:tcW w:w="810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Специа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льность</w:t>
            </w:r>
            <w:proofErr w:type="spellEnd"/>
            <w:r>
              <w:rPr>
                <w:sz w:val="14"/>
              </w:rPr>
              <w:t>,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квали</w:t>
            </w:r>
            <w:proofErr w:type="spellEnd"/>
            <w:r>
              <w:rPr>
                <w:sz w:val="14"/>
              </w:rPr>
              <w:t xml:space="preserve">-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фикация</w:t>
            </w:r>
            <w:proofErr w:type="spellEnd"/>
            <w:r>
              <w:rPr>
                <w:sz w:val="14"/>
              </w:rPr>
              <w:t xml:space="preserve">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по    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диплому,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ученая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степень,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ученое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звание  </w:t>
            </w:r>
          </w:p>
        </w:tc>
        <w:tc>
          <w:tcPr>
            <w:tcW w:w="1539" w:type="dxa"/>
            <w:gridSpan w:val="2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Дополнительное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профессиональное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образование (год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прохождения,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наименование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образовательного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учреждения)   </w:t>
            </w:r>
          </w:p>
        </w:tc>
        <w:tc>
          <w:tcPr>
            <w:tcW w:w="648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Стаж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госу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дарст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венной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службы</w:t>
            </w:r>
          </w:p>
        </w:tc>
        <w:tc>
          <w:tcPr>
            <w:tcW w:w="648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Дата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прохо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ждения</w:t>
            </w:r>
            <w:proofErr w:type="spellEnd"/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аттес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тации</w:t>
            </w:r>
            <w:proofErr w:type="spellEnd"/>
            <w:r>
              <w:rPr>
                <w:sz w:val="14"/>
              </w:rPr>
              <w:t xml:space="preserve">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и   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резу-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льтаты</w:t>
            </w:r>
            <w:proofErr w:type="spellEnd"/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аттес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тации</w:t>
            </w:r>
            <w:proofErr w:type="spellEnd"/>
            <w:r>
              <w:rPr>
                <w:sz w:val="14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Клас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сный</w:t>
            </w:r>
            <w:proofErr w:type="spellEnd"/>
            <w:r>
              <w:rPr>
                <w:sz w:val="14"/>
              </w:rPr>
              <w:t xml:space="preserve">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чин и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дата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при-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свое-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ния</w:t>
            </w:r>
            <w:proofErr w:type="spellEnd"/>
            <w:r>
              <w:rPr>
                <w:sz w:val="14"/>
              </w:rPr>
              <w:t xml:space="preserve">  </w:t>
            </w:r>
          </w:p>
        </w:tc>
        <w:tc>
          <w:tcPr>
            <w:tcW w:w="729" w:type="dxa"/>
            <w:vMerge w:val="restart"/>
          </w:tcPr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Нахож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дение</w:t>
            </w:r>
            <w:proofErr w:type="spellEnd"/>
            <w:r>
              <w:rPr>
                <w:sz w:val="14"/>
              </w:rPr>
              <w:t xml:space="preserve"> в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резерве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(с </w:t>
            </w:r>
            <w:proofErr w:type="spellStart"/>
            <w:r>
              <w:rPr>
                <w:sz w:val="14"/>
              </w:rPr>
              <w:t>ука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занием</w:t>
            </w:r>
            <w:proofErr w:type="spellEnd"/>
            <w:r>
              <w:rPr>
                <w:sz w:val="14"/>
              </w:rPr>
              <w:t xml:space="preserve">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долж</w:t>
            </w:r>
            <w:proofErr w:type="spellEnd"/>
            <w:r>
              <w:rPr>
                <w:sz w:val="14"/>
              </w:rPr>
              <w:t xml:space="preserve">-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ности</w:t>
            </w:r>
            <w:proofErr w:type="spellEnd"/>
            <w:r>
              <w:rPr>
                <w:sz w:val="14"/>
              </w:rPr>
              <w:t xml:space="preserve">,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даты 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зачис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ления</w:t>
            </w:r>
            <w:proofErr w:type="spellEnd"/>
            <w:r>
              <w:rPr>
                <w:sz w:val="14"/>
              </w:rPr>
              <w:t xml:space="preserve"> в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>резерв)</w:t>
            </w:r>
          </w:p>
        </w:tc>
      </w:tr>
      <w:tr w:rsidR="004367C2">
        <w:tc>
          <w:tcPr>
            <w:tcW w:w="324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1053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405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486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567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729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729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Профес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сиона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льная</w:t>
            </w:r>
            <w:proofErr w:type="spellEnd"/>
            <w:r>
              <w:rPr>
                <w:sz w:val="14"/>
              </w:rPr>
              <w:t xml:space="preserve">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пере-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подго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товка</w:t>
            </w:r>
            <w:proofErr w:type="spellEnd"/>
            <w:r>
              <w:rPr>
                <w:sz w:val="14"/>
              </w:rPr>
              <w:t xml:space="preserve">  </w:t>
            </w: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Повыше-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ние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ква</w:t>
            </w:r>
            <w:proofErr w:type="spellEnd"/>
            <w:r>
              <w:rPr>
                <w:sz w:val="14"/>
              </w:rPr>
              <w:t>-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лифика</w:t>
            </w:r>
            <w:proofErr w:type="spellEnd"/>
            <w:r>
              <w:rPr>
                <w:sz w:val="14"/>
              </w:rPr>
              <w:t xml:space="preserve">-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ции</w:t>
            </w:r>
            <w:proofErr w:type="spellEnd"/>
            <w:r>
              <w:rPr>
                <w:sz w:val="14"/>
              </w:rPr>
              <w:t xml:space="preserve">,  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в том 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числе   </w:t>
            </w:r>
          </w:p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 xml:space="preserve">стажи-  </w:t>
            </w:r>
          </w:p>
          <w:p w:rsidR="004367C2" w:rsidRDefault="004367C2">
            <w:pPr>
              <w:pStyle w:val="ConsPlusNonformat"/>
              <w:jc w:val="both"/>
            </w:pPr>
            <w:proofErr w:type="spellStart"/>
            <w:r>
              <w:rPr>
                <w:sz w:val="14"/>
              </w:rPr>
              <w:t>ровка</w:t>
            </w:r>
            <w:proofErr w:type="spellEnd"/>
            <w:r>
              <w:rPr>
                <w:sz w:val="14"/>
              </w:rPr>
              <w:t xml:space="preserve">   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567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486" w:type="dxa"/>
            <w:vMerge/>
            <w:tcBorders>
              <w:top w:val="nil"/>
            </w:tcBorders>
          </w:tcPr>
          <w:p w:rsidR="004367C2" w:rsidRDefault="004367C2"/>
        </w:tc>
        <w:tc>
          <w:tcPr>
            <w:tcW w:w="648" w:type="dxa"/>
            <w:vMerge/>
            <w:tcBorders>
              <w:top w:val="nil"/>
            </w:tcBorders>
          </w:tcPr>
          <w:p w:rsidR="004367C2" w:rsidRDefault="004367C2"/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 xml:space="preserve"> 1 </w:t>
            </w: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  2      </w:t>
            </w: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3  </w:t>
            </w: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4  </w:t>
            </w: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5   </w:t>
            </w: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6    </w:t>
            </w: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7    </w:t>
            </w: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8   </w:t>
            </w: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9    </w:t>
            </w: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10  </w:t>
            </w: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11  </w:t>
            </w: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12  </w:t>
            </w: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13   </w:t>
            </w: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                           Наименование государственного органа                               </w:t>
            </w: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                                 Категория "руководители"                                     </w:t>
            </w: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Высшая группа 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Главная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Ведущая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                             Категория "помощники (советники)"                                </w:t>
            </w: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Высшая группа 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Главная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Ведущая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                                  Категория "специалисты"                                     </w:t>
            </w: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Главная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Ведущая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Старшая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                             Категория "обеспечивающие специалисты"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Старшая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8991" w:type="dxa"/>
            <w:gridSpan w:val="13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  <w:r>
              <w:rPr>
                <w:sz w:val="14"/>
              </w:rPr>
              <w:t xml:space="preserve">Младшая группа                                                                                   </w:t>
            </w: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  <w:tr w:rsidR="004367C2">
        <w:trPr>
          <w:trHeight w:val="183"/>
        </w:trPr>
        <w:tc>
          <w:tcPr>
            <w:tcW w:w="405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1134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486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810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648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  <w:tc>
          <w:tcPr>
            <w:tcW w:w="729" w:type="dxa"/>
            <w:tcBorders>
              <w:top w:val="nil"/>
            </w:tcBorders>
          </w:tcPr>
          <w:p w:rsidR="004367C2" w:rsidRDefault="004367C2">
            <w:pPr>
              <w:pStyle w:val="ConsPlusNonformat"/>
              <w:jc w:val="both"/>
            </w:pPr>
          </w:p>
        </w:tc>
      </w:tr>
    </w:tbl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ind w:firstLine="540"/>
        <w:jc w:val="both"/>
      </w:pPr>
    </w:p>
    <w:p w:rsidR="004367C2" w:rsidRDefault="004367C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B133F" w:rsidRDefault="000B133F"/>
    <w:sectPr w:rsidR="000B133F" w:rsidSect="00AD0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C2"/>
    <w:rsid w:val="000B133F"/>
    <w:rsid w:val="004367C2"/>
    <w:rsid w:val="007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67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36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67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367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36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67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44367F6D262D5DFA3C8F78A9DB07C9874F61A2780069CDFD0758B261365A49EBE50A5C59DEBD34s4OFM" TargetMode="External"/><Relationship Id="rId13" Type="http://schemas.openxmlformats.org/officeDocument/2006/relationships/hyperlink" Target="consultantplus://offline/ref=3B44367F6D262D5DFA3C9175BFB759C08C4536AC73026093A25803EF363F501EACAA531E1DD3B8304837ADs0O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44367F6D262D5DFA3C8F78A9DB07C9874E6AA17D0469CDFD0758B261365A49EBE50A5C59DEB832s4OCM" TargetMode="External"/><Relationship Id="rId12" Type="http://schemas.openxmlformats.org/officeDocument/2006/relationships/hyperlink" Target="consultantplus://offline/ref=3B44367F6D262D5DFA3C8F78A9DB07C9874F61A2780069CDFD0758B261365A49EBE50A5C59DEBD34s4OF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44367F6D262D5DFA3C9175BFB759C08C4536AC7E046698A45803EF363F501EACAA531E1DD3B8304836ADs0O2M" TargetMode="External"/><Relationship Id="rId11" Type="http://schemas.openxmlformats.org/officeDocument/2006/relationships/hyperlink" Target="consultantplus://offline/ref=3B44367F6D262D5DFA3C8F78A9DB07C9874E6AA17D0469CDFD0758B261365A49EBE50A5C59DEB832s4OC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B44367F6D262D5DFA3C9175BFB759C08C4536AC7E046698A45803EF363F501EACAA531E1DD3B8304836ADs0O1M" TargetMode="External"/><Relationship Id="rId10" Type="http://schemas.openxmlformats.org/officeDocument/2006/relationships/hyperlink" Target="consultantplus://offline/ref=3B44367F6D262D5DFA3C9175BFB759C08C4536AC7E046698A45803EF363F501EACAA531E1DD3B8304836ADs0O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44367F6D262D5DFA3C9175BFB759C08C4536AC73026093A25803EF363F501EACAA531E1DD3B8304837ADs0OAM" TargetMode="External"/><Relationship Id="rId14" Type="http://schemas.openxmlformats.org/officeDocument/2006/relationships/hyperlink" Target="consultantplus://offline/ref=3B44367F6D262D5DFA3C9175BFB759C08C4536AC7E046698A45803EF363F501EACAA531E1DD3B8304836ADs0O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Маргарита Владимировна</dc:creator>
  <cp:lastModifiedBy>User</cp:lastModifiedBy>
  <cp:revision>2</cp:revision>
  <dcterms:created xsi:type="dcterms:W3CDTF">2020-11-24T03:39:00Z</dcterms:created>
  <dcterms:modified xsi:type="dcterms:W3CDTF">2020-11-24T03:39:00Z</dcterms:modified>
</cp:coreProperties>
</file>