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72" w:rsidRDefault="00782072" w:rsidP="0078207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/>
          <w:sz w:val="28"/>
          <w:szCs w:val="28"/>
          <w:lang w:eastAsia="ru-RU"/>
        </w:rPr>
        <w:t>Возмещение ущерба при угоне автомобиля</w:t>
      </w:r>
    </w:p>
    <w:bookmarkEnd w:id="0"/>
    <w:p w:rsidR="00782072" w:rsidRDefault="00782072" w:rsidP="007820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82072" w:rsidRDefault="00782072" w:rsidP="007820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угоне автомобиля и повреждении его угонщиками актуальным является вопрос возмещения ущерба, в том числе оплаты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штраф-стоянки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82072" w:rsidRDefault="00782072" w:rsidP="007820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Например, в случае угона автомобиля, его последующего попадания в ДТП и помещения на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штраф-стоянку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ответственность за возмещение ущерба будет определяться следующим образом. </w:t>
      </w:r>
    </w:p>
    <w:p w:rsidR="00782072" w:rsidRDefault="00782072" w:rsidP="007820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Вопрос о возмещении вреда, причиненного при угоне автомобиля, в рассматриваемой ситуации разрешается на основании положений </w:t>
      </w:r>
      <w:hyperlink r:id="rId5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  <w:lang w:eastAsia="ru-RU"/>
          </w:rPr>
          <w:t>ст. 1064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ГК РФ с учетом правовых позиций, изложенных в </w:t>
      </w:r>
      <w:hyperlink r:id="rId6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  <w:lang w:eastAsia="ru-RU"/>
          </w:rPr>
          <w:t>Постановлении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Конституционного Суда РФ от 07.04.2015 N 7-П.</w:t>
      </w:r>
    </w:p>
    <w:p w:rsidR="00782072" w:rsidRDefault="00782072" w:rsidP="007820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Как следует из </w:t>
      </w:r>
      <w:hyperlink r:id="rId7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  <w:lang w:eastAsia="ru-RU"/>
          </w:rPr>
          <w:t>п. 3.1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указанного Постановления, </w:t>
      </w:r>
      <w:hyperlink r:id="rId8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  <w:lang w:eastAsia="ru-RU"/>
          </w:rPr>
          <w:t>ст. 1064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ГК РФ не содержит препятствий для признания за потерпевшим права требовать возмещения имущественного вреда от лиц, совершивших угон принадлежащего ему автомобиля, если в результате противоправных действий или бездействия этих лиц автомобилю был причинен вред.</w:t>
      </w:r>
    </w:p>
    <w:p w:rsidR="00782072" w:rsidRDefault="00782072" w:rsidP="007820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Кроме этого, в рассматриваемом </w:t>
      </w:r>
      <w:hyperlink r:id="rId9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  <w:lang w:eastAsia="ru-RU"/>
          </w:rPr>
          <w:t>пункте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указано, что поскольку в результате действий лица, неправомерно завладевшего чужим автомобилем, его собственник лишается контроля над своим имуществом, то виновный в угоне принимает на себя ответственность за последующую судьбу данного имущества - вплоть до фактического возвращения автомобиля собственнику.</w:t>
      </w:r>
    </w:p>
    <w:p w:rsidR="00782072" w:rsidRDefault="00782072" w:rsidP="007820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Таким образом, обязанность по возмещению всего материального вреда, причиненного собственнику при угоне автомобиля, может быть возложена на лицо, признанное виновным в данном деянии, в том числе этим лицом должна оплачиваться стоимость нахождения автомобиля на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штраф-стоянке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82072" w:rsidRDefault="00782072" w:rsidP="007820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82072" w:rsidRDefault="00782072" w:rsidP="007820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82072" w:rsidRDefault="00782072" w:rsidP="007820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82072" w:rsidRDefault="00782072" w:rsidP="007820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Прокурор района Трофимова М.И.</w:t>
      </w:r>
    </w:p>
    <w:p w:rsidR="006215D1" w:rsidRDefault="006215D1"/>
    <w:sectPr w:rsidR="00621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286"/>
    <w:rsid w:val="00026286"/>
    <w:rsid w:val="006215D1"/>
    <w:rsid w:val="00782072"/>
    <w:rsid w:val="00DD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93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20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93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20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8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CFFB927B4993C2339FD34BA59C9DD36BBC14A8E991F1EACAB42563964EAB95EDB938E396BD607FE681D6D6C045F09C5A4B100D8F35FBDBC2u4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CFFB927B4993C2339FD34BA59C9DD369B913A4EE92F1EACAB42563964EAB95EDB938E396BF667CE181D6D6C045F09C5A4B100D8F35FBDBC2u4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4CFFB927B4993C2339FD34BA59C9DD369B913A4EE92F1EACAB42563964EAB95FFB960EF97B8787EE294808786C1u0B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4CFFB927B4993C2339FD34BA59C9DD36BBC14A8E991F1EACAB42563964EAB95EDB938E396BD607FE681D6D6C045F09C5A4B100D8F35FBDBC2u4B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4CFFB927B4993C2339FD34BA59C9DD369B913A4EE92F1EACAB42563964EAB95EDB938E396BF667CE281D6D6C045F09C5A4B100D8F35FBDBC2u4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2021-03-15T04:14:00Z</dcterms:created>
  <dcterms:modified xsi:type="dcterms:W3CDTF">2021-03-15T04:14:00Z</dcterms:modified>
</cp:coreProperties>
</file>